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88C3" w14:textId="77777777" w:rsidR="00B03887" w:rsidRPr="008C76FF" w:rsidRDefault="00B03887" w:rsidP="00B03887">
      <w:pPr>
        <w:pStyle w:val="ListParagraph"/>
        <w:spacing w:after="0" w:line="240" w:lineRule="auto"/>
        <w:ind w:left="360"/>
        <w:jc w:val="center"/>
        <w:rPr>
          <w:rFonts w:ascii="Arial" w:eastAsia="Garamond" w:hAnsi="Arial" w:cs="Arial"/>
          <w:b/>
          <w:sz w:val="20"/>
          <w:szCs w:val="20"/>
        </w:rPr>
      </w:pPr>
      <w:r w:rsidRPr="008C76FF">
        <w:rPr>
          <w:rFonts w:ascii="Arial" w:eastAsia="Garamond" w:hAnsi="Arial" w:cs="Arial"/>
          <w:b/>
          <w:sz w:val="20"/>
          <w:szCs w:val="20"/>
        </w:rPr>
        <w:t>TERMS OF REFERENCE</w:t>
      </w:r>
    </w:p>
    <w:p w14:paraId="5D579BA5" w14:textId="77777777" w:rsidR="00B03887" w:rsidRPr="008C76FF" w:rsidRDefault="00B03887" w:rsidP="00B03887">
      <w:pPr>
        <w:pStyle w:val="NoSpacing"/>
        <w:jc w:val="center"/>
        <w:rPr>
          <w:rFonts w:ascii="Arial" w:hAnsi="Arial" w:cs="Arial"/>
          <w:b/>
          <w:sz w:val="20"/>
          <w:szCs w:val="20"/>
        </w:rPr>
      </w:pPr>
    </w:p>
    <w:p w14:paraId="1E8B0B03" w14:textId="0392BEB8" w:rsidR="00686A8F" w:rsidRDefault="00686A8F" w:rsidP="00B03887">
      <w:pPr>
        <w:pStyle w:val="NoSpacing"/>
        <w:jc w:val="center"/>
        <w:rPr>
          <w:rFonts w:ascii="Arial" w:hAnsi="Arial" w:cs="Arial"/>
          <w:b/>
          <w:sz w:val="20"/>
          <w:szCs w:val="20"/>
        </w:rPr>
      </w:pPr>
      <w:bookmarkStart w:id="0" w:name="_Hlk201479028"/>
      <w:r w:rsidRPr="00686A8F">
        <w:rPr>
          <w:rFonts w:ascii="Arial" w:hAnsi="Arial" w:cs="Arial"/>
          <w:b/>
          <w:sz w:val="20"/>
          <w:szCs w:val="20"/>
        </w:rPr>
        <w:t>Live video transmission and Media outreach</w:t>
      </w:r>
    </w:p>
    <w:bookmarkEnd w:id="0"/>
    <w:p w14:paraId="26D7A786" w14:textId="77777777" w:rsidR="00423901" w:rsidRPr="008C76FF" w:rsidRDefault="00423901" w:rsidP="00B03887">
      <w:pPr>
        <w:pStyle w:val="NoSpacing"/>
        <w:jc w:val="center"/>
        <w:rPr>
          <w:rFonts w:ascii="Arial" w:hAnsi="Arial" w:cs="Arial"/>
          <w:i/>
          <w:sz w:val="20"/>
          <w:szCs w:val="20"/>
        </w:rPr>
      </w:pPr>
    </w:p>
    <w:p w14:paraId="5F94D41B" w14:textId="77777777" w:rsidR="00B03887" w:rsidRPr="008C76FF" w:rsidRDefault="00B03887" w:rsidP="00B03887">
      <w:pPr>
        <w:pBdr>
          <w:top w:val="single" w:sz="4" w:space="1" w:color="auto"/>
        </w:pBdr>
        <w:spacing w:after="0" w:line="240" w:lineRule="auto"/>
        <w:jc w:val="both"/>
        <w:rPr>
          <w:rFonts w:ascii="Arial" w:eastAsia="Garamond" w:hAnsi="Arial" w:cs="Arial"/>
          <w:sz w:val="20"/>
          <w:szCs w:val="20"/>
        </w:rPr>
      </w:pPr>
    </w:p>
    <w:p w14:paraId="6B99F350" w14:textId="51D1AE3E" w:rsidR="00B03887" w:rsidRPr="008C76FF" w:rsidRDefault="00B03887" w:rsidP="00B03887">
      <w:pPr>
        <w:pBdr>
          <w:top w:val="single" w:sz="4" w:space="1" w:color="auto"/>
        </w:pBdr>
        <w:spacing w:after="0" w:line="240" w:lineRule="auto"/>
        <w:rPr>
          <w:rFonts w:ascii="Arial" w:eastAsia="Garamond" w:hAnsi="Arial" w:cs="Arial"/>
          <w:sz w:val="20"/>
          <w:szCs w:val="20"/>
        </w:rPr>
      </w:pPr>
      <w:r w:rsidRPr="008C76FF">
        <w:rPr>
          <w:rFonts w:ascii="Arial" w:eastAsia="Garamond" w:hAnsi="Arial" w:cs="Arial"/>
          <w:sz w:val="20"/>
          <w:szCs w:val="20"/>
        </w:rPr>
        <w:t>Position:                                      Consultancy (Company/Agency/Individual)</w:t>
      </w:r>
    </w:p>
    <w:p w14:paraId="0C18264C" w14:textId="77777777" w:rsidR="00B03887" w:rsidRPr="008C76FF" w:rsidRDefault="00B03887" w:rsidP="00B03887">
      <w:pPr>
        <w:spacing w:after="0" w:line="240" w:lineRule="auto"/>
        <w:jc w:val="both"/>
        <w:rPr>
          <w:rFonts w:ascii="Arial" w:eastAsia="Garamond" w:hAnsi="Arial" w:cs="Arial"/>
          <w:sz w:val="20"/>
          <w:szCs w:val="20"/>
        </w:rPr>
      </w:pPr>
    </w:p>
    <w:p w14:paraId="1581EA2F" w14:textId="6359806D" w:rsidR="00B03887" w:rsidRPr="008C76FF" w:rsidRDefault="00B03887" w:rsidP="00B03887">
      <w:pPr>
        <w:spacing w:after="0" w:line="240" w:lineRule="auto"/>
        <w:jc w:val="both"/>
        <w:rPr>
          <w:rFonts w:ascii="Arial" w:eastAsia="Garamond" w:hAnsi="Arial" w:cs="Arial"/>
          <w:color w:val="E97132" w:themeColor="accent2"/>
          <w:sz w:val="20"/>
          <w:szCs w:val="20"/>
        </w:rPr>
      </w:pPr>
      <w:r w:rsidRPr="008C76FF">
        <w:rPr>
          <w:rFonts w:ascii="Arial" w:eastAsia="Garamond" w:hAnsi="Arial" w:cs="Arial"/>
          <w:sz w:val="20"/>
          <w:szCs w:val="20"/>
        </w:rPr>
        <w:t xml:space="preserve">Duration of Assignment:   </w:t>
      </w:r>
      <w:r w:rsidRPr="008C76FF">
        <w:rPr>
          <w:rFonts w:ascii="Arial" w:eastAsia="Garamond" w:hAnsi="Arial" w:cs="Arial"/>
          <w:sz w:val="20"/>
          <w:szCs w:val="20"/>
        </w:rPr>
        <w:tab/>
      </w:r>
      <w:r w:rsidR="00686A8F">
        <w:rPr>
          <w:rFonts w:ascii="Arial" w:eastAsia="Garamond" w:hAnsi="Arial" w:cs="Arial"/>
          <w:color w:val="000000" w:themeColor="text1"/>
          <w:sz w:val="20"/>
          <w:szCs w:val="20"/>
        </w:rPr>
        <w:t>1 day (June 16, 2025)</w:t>
      </w:r>
    </w:p>
    <w:p w14:paraId="3401C5DF" w14:textId="77777777" w:rsidR="00B03887" w:rsidRPr="008C76FF" w:rsidRDefault="00B03887" w:rsidP="00B03887">
      <w:pPr>
        <w:spacing w:after="0" w:line="240" w:lineRule="auto"/>
        <w:jc w:val="both"/>
        <w:rPr>
          <w:rFonts w:ascii="Arial" w:eastAsia="Garamond" w:hAnsi="Arial" w:cs="Arial"/>
          <w:sz w:val="20"/>
          <w:szCs w:val="20"/>
        </w:rPr>
      </w:pPr>
    </w:p>
    <w:p w14:paraId="4310C9B6" w14:textId="77777777" w:rsidR="00B03887" w:rsidRPr="008C76FF" w:rsidRDefault="00B03887" w:rsidP="00B03887">
      <w:pPr>
        <w:spacing w:after="0" w:line="240" w:lineRule="auto"/>
        <w:jc w:val="both"/>
        <w:rPr>
          <w:rFonts w:ascii="Arial" w:eastAsia="Garamond" w:hAnsi="Arial" w:cs="Arial"/>
          <w:b/>
          <w:sz w:val="20"/>
          <w:szCs w:val="20"/>
        </w:rPr>
      </w:pPr>
      <w:r w:rsidRPr="008C76FF">
        <w:rPr>
          <w:rFonts w:ascii="Arial" w:eastAsia="Garamond" w:hAnsi="Arial" w:cs="Arial"/>
          <w:sz w:val="20"/>
          <w:szCs w:val="20"/>
        </w:rPr>
        <w:tab/>
      </w:r>
      <w:r w:rsidRPr="008C76FF">
        <w:rPr>
          <w:rFonts w:ascii="Arial" w:eastAsia="Garamond" w:hAnsi="Arial" w:cs="Arial"/>
          <w:sz w:val="20"/>
          <w:szCs w:val="20"/>
        </w:rPr>
        <w:tab/>
      </w:r>
      <w:r w:rsidRPr="008C76FF">
        <w:rPr>
          <w:rFonts w:ascii="Arial" w:eastAsia="Garamond" w:hAnsi="Arial" w:cs="Arial"/>
          <w:sz w:val="20"/>
          <w:szCs w:val="20"/>
        </w:rPr>
        <w:tab/>
      </w:r>
      <w:r w:rsidRPr="008C76FF">
        <w:rPr>
          <w:rFonts w:ascii="Arial" w:eastAsia="Garamond" w:hAnsi="Arial" w:cs="Arial"/>
          <w:sz w:val="20"/>
          <w:szCs w:val="20"/>
        </w:rPr>
        <w:tab/>
      </w:r>
    </w:p>
    <w:p w14:paraId="761732D1"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Background</w:t>
      </w:r>
    </w:p>
    <w:p w14:paraId="730564BF" w14:textId="77777777" w:rsidR="00B03887" w:rsidRPr="008C76FF" w:rsidRDefault="00B03887" w:rsidP="00B03887">
      <w:pPr>
        <w:spacing w:after="0" w:line="240" w:lineRule="auto"/>
        <w:jc w:val="both"/>
        <w:rPr>
          <w:rFonts w:ascii="Arial" w:eastAsia="Garamond" w:hAnsi="Arial" w:cs="Arial"/>
          <w:sz w:val="20"/>
          <w:szCs w:val="20"/>
        </w:rPr>
      </w:pPr>
    </w:p>
    <w:p w14:paraId="3245E4CD" w14:textId="56921A24" w:rsidR="00447F53" w:rsidRDefault="00423901" w:rsidP="00B03887">
      <w:pPr>
        <w:pStyle w:val="NoSpacing"/>
        <w:spacing w:line="276" w:lineRule="auto"/>
        <w:jc w:val="both"/>
        <w:rPr>
          <w:rFonts w:ascii="Arial" w:eastAsia="Garamond" w:hAnsi="Arial" w:cs="Arial"/>
          <w:sz w:val="20"/>
          <w:szCs w:val="20"/>
        </w:rPr>
      </w:pPr>
      <w:r w:rsidRPr="00423901">
        <w:rPr>
          <w:rFonts w:ascii="Arial" w:eastAsia="Garamond" w:hAnsi="Arial" w:cs="Arial"/>
          <w:sz w:val="20"/>
          <w:szCs w:val="20"/>
        </w:rPr>
        <w:t xml:space="preserve">To promote women’s political participation and advocate for direct representation, a high-level roundtable on “Direct Voting for Women” will be organised in collaboration with </w:t>
      </w:r>
      <w:r w:rsidRPr="00423901">
        <w:rPr>
          <w:rFonts w:ascii="Arial" w:eastAsia="Garamond" w:hAnsi="Arial" w:cs="Arial"/>
          <w:i/>
          <w:iCs/>
          <w:sz w:val="20"/>
          <w:szCs w:val="20"/>
        </w:rPr>
        <w:t>The Daily Star</w:t>
      </w:r>
      <w:r w:rsidRPr="00423901">
        <w:rPr>
          <w:rFonts w:ascii="Arial" w:eastAsia="Garamond" w:hAnsi="Arial" w:cs="Arial"/>
          <w:sz w:val="20"/>
          <w:szCs w:val="20"/>
        </w:rPr>
        <w:t>. The event will bring together policymakers, civil society, media, and electoral experts to discuss systemic reforms. To ensure broader reach and engagement, a consultant will be hired to provide high-quality live video transmission and media outreach. This will support real-time dissemination, enhance visibility, and strengthen advocacy for women’s political empowerment.</w:t>
      </w:r>
    </w:p>
    <w:p w14:paraId="64B3AD55" w14:textId="77777777" w:rsidR="00423901" w:rsidRPr="008C76FF" w:rsidRDefault="00423901" w:rsidP="00B03887">
      <w:pPr>
        <w:pStyle w:val="NoSpacing"/>
        <w:spacing w:line="276" w:lineRule="auto"/>
        <w:jc w:val="both"/>
        <w:rPr>
          <w:rFonts w:ascii="Arial" w:hAnsi="Arial" w:cs="Arial"/>
          <w:sz w:val="20"/>
          <w:szCs w:val="20"/>
        </w:rPr>
      </w:pPr>
    </w:p>
    <w:p w14:paraId="22BCFABF"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Objective of the task</w:t>
      </w:r>
    </w:p>
    <w:p w14:paraId="42852F6A" w14:textId="77777777" w:rsidR="00DB23DB" w:rsidRDefault="00DB23DB" w:rsidP="00B03887">
      <w:pPr>
        <w:pStyle w:val="NoSpacing"/>
        <w:spacing w:line="276" w:lineRule="auto"/>
        <w:jc w:val="both"/>
        <w:rPr>
          <w:rFonts w:ascii="Arial" w:eastAsia="Garamond" w:hAnsi="Arial" w:cs="Arial"/>
          <w:sz w:val="20"/>
          <w:szCs w:val="20"/>
        </w:rPr>
      </w:pPr>
    </w:p>
    <w:p w14:paraId="1B51F057" w14:textId="05B316FA" w:rsidR="00447F53" w:rsidRDefault="00DB23DB" w:rsidP="00B03887">
      <w:pPr>
        <w:pStyle w:val="NoSpacing"/>
        <w:spacing w:line="276" w:lineRule="auto"/>
        <w:jc w:val="both"/>
        <w:rPr>
          <w:rFonts w:ascii="Arial" w:eastAsia="Garamond" w:hAnsi="Arial" w:cs="Arial"/>
          <w:sz w:val="20"/>
          <w:szCs w:val="20"/>
        </w:rPr>
      </w:pPr>
      <w:r w:rsidRPr="00DB23DB">
        <w:rPr>
          <w:rFonts w:ascii="Arial" w:eastAsia="Garamond" w:hAnsi="Arial" w:cs="Arial"/>
          <w:sz w:val="20"/>
          <w:szCs w:val="20"/>
        </w:rPr>
        <w:t>The objective of this assignment is to ensure high-quality live video coverage and effective media outreach for the roundtable discussion on “Direct Voting for Women.” The consultant will be responsible for capturing and streaming the event in real-time, while also supporting strategic media engagement to amplify key messages. The content will be used to increase public awareness, engage stakeholders, and strengthen advocacy efforts through both traditional and digital platforms.</w:t>
      </w:r>
    </w:p>
    <w:p w14:paraId="5A2CD9F9" w14:textId="77777777" w:rsidR="00DB23DB" w:rsidRPr="008C76FF" w:rsidRDefault="00DB23DB" w:rsidP="00B03887">
      <w:pPr>
        <w:pStyle w:val="NoSpacing"/>
        <w:spacing w:line="276" w:lineRule="auto"/>
        <w:jc w:val="both"/>
        <w:rPr>
          <w:rFonts w:ascii="Arial" w:eastAsia="Garamond" w:hAnsi="Arial" w:cs="Arial"/>
          <w:sz w:val="20"/>
          <w:szCs w:val="20"/>
        </w:rPr>
      </w:pPr>
    </w:p>
    <w:p w14:paraId="46F38F24" w14:textId="6924C8BC"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sz w:val="20"/>
          <w:szCs w:val="20"/>
        </w:rPr>
        <w:t xml:space="preserve">Scope of the services </w:t>
      </w:r>
    </w:p>
    <w:p w14:paraId="08C72170" w14:textId="77777777" w:rsidR="00B03887" w:rsidRPr="008C76FF" w:rsidRDefault="00B03887" w:rsidP="00B03887">
      <w:pPr>
        <w:spacing w:after="0" w:line="240" w:lineRule="auto"/>
        <w:jc w:val="both"/>
        <w:rPr>
          <w:rFonts w:ascii="Arial" w:hAnsi="Arial" w:cs="Arial"/>
          <w:sz w:val="20"/>
          <w:szCs w:val="20"/>
        </w:rPr>
      </w:pPr>
    </w:p>
    <w:p w14:paraId="5A5A727E" w14:textId="77777777" w:rsidR="00B03887" w:rsidRPr="008C76FF" w:rsidRDefault="00B03887" w:rsidP="00B03887">
      <w:pPr>
        <w:spacing w:after="0" w:line="240" w:lineRule="auto"/>
        <w:jc w:val="both"/>
        <w:rPr>
          <w:rFonts w:ascii="Arial" w:hAnsi="Arial" w:cs="Arial"/>
          <w:sz w:val="20"/>
          <w:szCs w:val="20"/>
        </w:rPr>
      </w:pPr>
      <w:r w:rsidRPr="008C76FF">
        <w:rPr>
          <w:rFonts w:ascii="Arial" w:hAnsi="Arial" w:cs="Arial"/>
          <w:sz w:val="20"/>
          <w:szCs w:val="20"/>
        </w:rPr>
        <w:t>The consultancy company/agency/consultant will be commissioned for the following specific responsibilities which include, but are not limited:</w:t>
      </w:r>
    </w:p>
    <w:p w14:paraId="1C178E2E" w14:textId="77777777" w:rsidR="00626C39" w:rsidRPr="008C76FF" w:rsidRDefault="00626C39" w:rsidP="00B03887">
      <w:pPr>
        <w:spacing w:after="0" w:line="240" w:lineRule="auto"/>
        <w:jc w:val="both"/>
        <w:rPr>
          <w:rFonts w:ascii="Arial" w:hAnsi="Arial" w:cs="Arial"/>
          <w:sz w:val="20"/>
          <w:szCs w:val="20"/>
        </w:rPr>
      </w:pPr>
    </w:p>
    <w:p w14:paraId="3EE73FEF" w14:textId="77777777" w:rsidR="00DB23DB" w:rsidRPr="00DB23DB" w:rsidRDefault="00DB23DB" w:rsidP="00DB23DB">
      <w:pPr>
        <w:pStyle w:val="ListParagraph"/>
        <w:numPr>
          <w:ilvl w:val="0"/>
          <w:numId w:val="25"/>
        </w:numPr>
        <w:spacing w:after="0" w:line="240" w:lineRule="auto"/>
        <w:jc w:val="both"/>
        <w:rPr>
          <w:rFonts w:ascii="Arial" w:hAnsi="Arial" w:cs="Arial"/>
          <w:sz w:val="20"/>
          <w:szCs w:val="20"/>
        </w:rPr>
      </w:pPr>
      <w:r w:rsidRPr="00DB23DB">
        <w:rPr>
          <w:rFonts w:ascii="Arial" w:hAnsi="Arial" w:cs="Arial"/>
          <w:sz w:val="20"/>
          <w:szCs w:val="20"/>
        </w:rPr>
        <w:t>Providing high-quality live video transmission of the roundtable event.</w:t>
      </w:r>
    </w:p>
    <w:p w14:paraId="488C9A2D" w14:textId="77777777" w:rsidR="00DB23DB" w:rsidRPr="00DB23DB" w:rsidRDefault="00DB23DB" w:rsidP="00DB23DB">
      <w:pPr>
        <w:pStyle w:val="ListParagraph"/>
        <w:spacing w:after="0" w:line="240" w:lineRule="auto"/>
        <w:jc w:val="both"/>
        <w:rPr>
          <w:rFonts w:ascii="Arial" w:hAnsi="Arial" w:cs="Arial"/>
          <w:sz w:val="20"/>
          <w:szCs w:val="20"/>
        </w:rPr>
      </w:pPr>
    </w:p>
    <w:p w14:paraId="55038ED5" w14:textId="77777777" w:rsidR="00DB23DB" w:rsidRPr="00DB23DB" w:rsidRDefault="00DB23DB" w:rsidP="00DB23DB">
      <w:pPr>
        <w:pStyle w:val="ListParagraph"/>
        <w:numPr>
          <w:ilvl w:val="0"/>
          <w:numId w:val="25"/>
        </w:numPr>
        <w:spacing w:after="0" w:line="240" w:lineRule="auto"/>
        <w:jc w:val="both"/>
        <w:rPr>
          <w:rFonts w:ascii="Arial" w:hAnsi="Arial" w:cs="Arial"/>
          <w:sz w:val="20"/>
          <w:szCs w:val="20"/>
        </w:rPr>
      </w:pPr>
      <w:r w:rsidRPr="00DB23DB">
        <w:rPr>
          <w:rFonts w:ascii="Arial" w:hAnsi="Arial" w:cs="Arial"/>
          <w:sz w:val="20"/>
          <w:szCs w:val="20"/>
        </w:rPr>
        <w:t>Capturing key visuals, including speaker shots, audience engagement, and interviews.</w:t>
      </w:r>
    </w:p>
    <w:p w14:paraId="048B5D18" w14:textId="77777777" w:rsidR="00DB23DB" w:rsidRPr="00DB23DB" w:rsidRDefault="00DB23DB" w:rsidP="00DB23DB">
      <w:pPr>
        <w:pStyle w:val="ListParagraph"/>
        <w:spacing w:after="0" w:line="240" w:lineRule="auto"/>
        <w:jc w:val="both"/>
        <w:rPr>
          <w:rFonts w:ascii="Arial" w:hAnsi="Arial" w:cs="Arial"/>
          <w:sz w:val="20"/>
          <w:szCs w:val="20"/>
        </w:rPr>
      </w:pPr>
    </w:p>
    <w:p w14:paraId="717F21C8" w14:textId="77777777" w:rsidR="00DB23DB" w:rsidRPr="00DB23DB" w:rsidRDefault="00DB23DB" w:rsidP="00DB23DB">
      <w:pPr>
        <w:pStyle w:val="ListParagraph"/>
        <w:numPr>
          <w:ilvl w:val="0"/>
          <w:numId w:val="25"/>
        </w:numPr>
        <w:spacing w:after="0" w:line="240" w:lineRule="auto"/>
        <w:jc w:val="both"/>
        <w:rPr>
          <w:rFonts w:ascii="Arial" w:hAnsi="Arial" w:cs="Arial"/>
          <w:sz w:val="20"/>
          <w:szCs w:val="20"/>
        </w:rPr>
      </w:pPr>
      <w:r w:rsidRPr="00DB23DB">
        <w:rPr>
          <w:rFonts w:ascii="Arial" w:hAnsi="Arial" w:cs="Arial"/>
          <w:sz w:val="20"/>
          <w:szCs w:val="20"/>
        </w:rPr>
        <w:t>Coordinating with media partners for coverage in print, online, and broadcast outlets.</w:t>
      </w:r>
    </w:p>
    <w:p w14:paraId="353FDB1C" w14:textId="77777777" w:rsidR="00DB23DB" w:rsidRPr="00DB23DB" w:rsidRDefault="00DB23DB" w:rsidP="00DB23DB">
      <w:pPr>
        <w:pStyle w:val="ListParagraph"/>
        <w:spacing w:after="0" w:line="240" w:lineRule="auto"/>
        <w:jc w:val="both"/>
        <w:rPr>
          <w:rFonts w:ascii="Arial" w:hAnsi="Arial" w:cs="Arial"/>
          <w:sz w:val="20"/>
          <w:szCs w:val="20"/>
        </w:rPr>
      </w:pPr>
    </w:p>
    <w:p w14:paraId="6DC598E9" w14:textId="77777777" w:rsidR="00DB23DB" w:rsidRPr="00DB23DB" w:rsidRDefault="00DB23DB" w:rsidP="00DB23DB">
      <w:pPr>
        <w:pStyle w:val="ListParagraph"/>
        <w:numPr>
          <w:ilvl w:val="0"/>
          <w:numId w:val="25"/>
        </w:numPr>
        <w:spacing w:after="0" w:line="240" w:lineRule="auto"/>
        <w:jc w:val="both"/>
        <w:rPr>
          <w:rFonts w:ascii="Arial" w:hAnsi="Arial" w:cs="Arial"/>
          <w:sz w:val="20"/>
          <w:szCs w:val="20"/>
        </w:rPr>
      </w:pPr>
      <w:r w:rsidRPr="00DB23DB">
        <w:rPr>
          <w:rFonts w:ascii="Arial" w:hAnsi="Arial" w:cs="Arial"/>
          <w:sz w:val="20"/>
          <w:szCs w:val="20"/>
        </w:rPr>
        <w:t>Preparing a press release and managing media outreach.</w:t>
      </w:r>
    </w:p>
    <w:p w14:paraId="50881762" w14:textId="77777777" w:rsidR="00DB23DB" w:rsidRPr="00DB23DB" w:rsidRDefault="00DB23DB" w:rsidP="00DB23DB">
      <w:pPr>
        <w:pStyle w:val="ListParagraph"/>
        <w:spacing w:after="0" w:line="240" w:lineRule="auto"/>
        <w:jc w:val="both"/>
        <w:rPr>
          <w:rFonts w:ascii="Arial" w:hAnsi="Arial" w:cs="Arial"/>
          <w:sz w:val="20"/>
          <w:szCs w:val="20"/>
        </w:rPr>
      </w:pPr>
    </w:p>
    <w:p w14:paraId="6652EC93" w14:textId="0FF5E472" w:rsidR="00B03887" w:rsidRPr="008C76FF" w:rsidRDefault="00DB23DB" w:rsidP="00DB23DB">
      <w:pPr>
        <w:pStyle w:val="ListParagraph"/>
        <w:numPr>
          <w:ilvl w:val="0"/>
          <w:numId w:val="25"/>
        </w:numPr>
        <w:spacing w:after="0" w:line="240" w:lineRule="auto"/>
        <w:jc w:val="both"/>
        <w:rPr>
          <w:rFonts w:ascii="Arial" w:hAnsi="Arial" w:cs="Arial"/>
        </w:rPr>
      </w:pPr>
      <w:r w:rsidRPr="00DB23DB">
        <w:rPr>
          <w:rFonts w:ascii="Arial" w:hAnsi="Arial" w:cs="Arial"/>
          <w:sz w:val="20"/>
          <w:szCs w:val="20"/>
        </w:rPr>
        <w:t>Sharing real-time updates and content on digital platforms.</w:t>
      </w:r>
    </w:p>
    <w:p w14:paraId="47CF02A9" w14:textId="77777777" w:rsidR="00B03887" w:rsidRPr="008C76FF" w:rsidRDefault="00B03887" w:rsidP="00B03887">
      <w:pPr>
        <w:spacing w:after="0" w:line="240" w:lineRule="auto"/>
        <w:jc w:val="both"/>
        <w:rPr>
          <w:rFonts w:ascii="Arial" w:hAnsi="Arial" w:cs="Arial"/>
        </w:rPr>
      </w:pPr>
    </w:p>
    <w:p w14:paraId="6BA5E416"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Responsibilities of the Signing Parties</w:t>
      </w:r>
    </w:p>
    <w:p w14:paraId="562BFFE6" w14:textId="77777777" w:rsidR="00B03887" w:rsidRPr="008C76FF" w:rsidRDefault="00B03887" w:rsidP="00B03887">
      <w:pPr>
        <w:pStyle w:val="NoSpacing"/>
        <w:jc w:val="both"/>
        <w:rPr>
          <w:rFonts w:ascii="Arial" w:hAnsi="Arial" w:cs="Arial"/>
          <w:b/>
          <w:bCs/>
          <w:sz w:val="20"/>
          <w:szCs w:val="20"/>
          <w:highlight w:val="yellow"/>
        </w:rPr>
      </w:pPr>
    </w:p>
    <w:p w14:paraId="71050793" w14:textId="77777777" w:rsidR="00B03887" w:rsidRPr="008C76FF" w:rsidRDefault="00B03887" w:rsidP="00B03887">
      <w:pPr>
        <w:pStyle w:val="NoSpacing"/>
        <w:numPr>
          <w:ilvl w:val="0"/>
          <w:numId w:val="6"/>
        </w:numPr>
        <w:jc w:val="both"/>
        <w:rPr>
          <w:rFonts w:ascii="Arial" w:hAnsi="Arial" w:cs="Arial"/>
          <w:b/>
          <w:bCs/>
          <w:sz w:val="20"/>
          <w:szCs w:val="20"/>
        </w:rPr>
      </w:pPr>
      <w:r w:rsidRPr="008C76FF">
        <w:rPr>
          <w:rFonts w:ascii="Arial" w:hAnsi="Arial" w:cs="Arial"/>
          <w:b/>
          <w:bCs/>
          <w:sz w:val="20"/>
          <w:szCs w:val="20"/>
        </w:rPr>
        <w:t xml:space="preserve">ActionAid Bangladesh: </w:t>
      </w:r>
    </w:p>
    <w:p w14:paraId="055DEAC0" w14:textId="77777777" w:rsidR="00DB23DB" w:rsidRDefault="00DB23DB" w:rsidP="000E0F02">
      <w:pPr>
        <w:pStyle w:val="NoSpacing"/>
        <w:numPr>
          <w:ilvl w:val="0"/>
          <w:numId w:val="24"/>
        </w:numPr>
        <w:jc w:val="both"/>
        <w:rPr>
          <w:rFonts w:ascii="Arial" w:hAnsi="Arial" w:cs="Arial"/>
          <w:sz w:val="20"/>
          <w:szCs w:val="20"/>
        </w:rPr>
      </w:pPr>
      <w:r w:rsidRPr="00DB23DB">
        <w:rPr>
          <w:rFonts w:ascii="Arial" w:hAnsi="Arial" w:cs="Arial"/>
          <w:sz w:val="20"/>
          <w:szCs w:val="20"/>
        </w:rPr>
        <w:t>Provide a clear briefing on the assignment objectives and event details.</w:t>
      </w:r>
    </w:p>
    <w:p w14:paraId="5B041A7E" w14:textId="77777777" w:rsidR="00DB23DB" w:rsidRDefault="00DB23DB" w:rsidP="00DB23DB">
      <w:pPr>
        <w:pStyle w:val="ListParagraph"/>
        <w:numPr>
          <w:ilvl w:val="0"/>
          <w:numId w:val="24"/>
        </w:numPr>
        <w:rPr>
          <w:rFonts w:ascii="Arial" w:hAnsi="Arial" w:cs="Arial"/>
          <w:sz w:val="20"/>
          <w:szCs w:val="20"/>
        </w:rPr>
      </w:pPr>
      <w:r w:rsidRPr="00DB23DB">
        <w:rPr>
          <w:rFonts w:ascii="Arial" w:hAnsi="Arial" w:cs="Arial"/>
          <w:sz w:val="20"/>
          <w:szCs w:val="20"/>
        </w:rPr>
        <w:t>Facilitate necessary logistical support and coordination with event organisers and partners.</w:t>
      </w:r>
    </w:p>
    <w:p w14:paraId="200889D9" w14:textId="2C623AFE" w:rsidR="00626C39" w:rsidRDefault="00DB23DB" w:rsidP="00DB23DB">
      <w:pPr>
        <w:pStyle w:val="ListParagraph"/>
        <w:numPr>
          <w:ilvl w:val="0"/>
          <w:numId w:val="24"/>
        </w:numPr>
        <w:rPr>
          <w:rFonts w:ascii="Arial" w:hAnsi="Arial" w:cs="Arial"/>
          <w:sz w:val="20"/>
          <w:szCs w:val="20"/>
        </w:rPr>
      </w:pPr>
      <w:r w:rsidRPr="00DB23DB">
        <w:rPr>
          <w:rFonts w:ascii="Arial" w:hAnsi="Arial" w:cs="Arial"/>
          <w:sz w:val="20"/>
          <w:szCs w:val="20"/>
        </w:rPr>
        <w:t xml:space="preserve">Share branding and communication guidelines to ensure content </w:t>
      </w:r>
      <w:r w:rsidR="006320CA" w:rsidRPr="00DB23DB">
        <w:rPr>
          <w:rFonts w:ascii="Arial" w:hAnsi="Arial" w:cs="Arial"/>
          <w:sz w:val="20"/>
          <w:szCs w:val="20"/>
        </w:rPr>
        <w:t>alignment. Provide</w:t>
      </w:r>
      <w:r w:rsidR="00626C39" w:rsidRPr="00DB23DB">
        <w:rPr>
          <w:rFonts w:ascii="Arial" w:hAnsi="Arial" w:cs="Arial"/>
          <w:sz w:val="20"/>
          <w:szCs w:val="20"/>
        </w:rPr>
        <w:t xml:space="preserve"> timely feedback on the captured images and videos.</w:t>
      </w:r>
    </w:p>
    <w:p w14:paraId="0E42386F" w14:textId="145B8928" w:rsidR="00DB23DB" w:rsidRPr="00DB23DB" w:rsidRDefault="00DB23DB" w:rsidP="00DB23DB">
      <w:pPr>
        <w:pStyle w:val="ListParagraph"/>
        <w:numPr>
          <w:ilvl w:val="0"/>
          <w:numId w:val="24"/>
        </w:numPr>
        <w:rPr>
          <w:rFonts w:ascii="Arial" w:hAnsi="Arial" w:cs="Arial"/>
          <w:sz w:val="20"/>
          <w:szCs w:val="20"/>
        </w:rPr>
      </w:pPr>
      <w:r w:rsidRPr="00DB23DB">
        <w:rPr>
          <w:rFonts w:ascii="Arial" w:hAnsi="Arial" w:cs="Arial"/>
          <w:sz w:val="20"/>
          <w:szCs w:val="20"/>
        </w:rPr>
        <w:t>Offer timely feedback on live transmission setup, media content, and final outputs.</w:t>
      </w:r>
    </w:p>
    <w:p w14:paraId="26BCD6D2" w14:textId="77777777" w:rsidR="00B03887" w:rsidRPr="008C76FF" w:rsidRDefault="00B03887" w:rsidP="00B03887">
      <w:pPr>
        <w:pStyle w:val="NoSpacing"/>
        <w:jc w:val="both"/>
        <w:rPr>
          <w:rFonts w:ascii="Arial" w:hAnsi="Arial" w:cs="Arial"/>
          <w:b/>
          <w:bCs/>
          <w:sz w:val="20"/>
          <w:szCs w:val="20"/>
        </w:rPr>
      </w:pPr>
    </w:p>
    <w:p w14:paraId="3589FC7F" w14:textId="77777777" w:rsidR="00B03887" w:rsidRPr="008C76FF" w:rsidRDefault="00B03887" w:rsidP="00B03887">
      <w:pPr>
        <w:pStyle w:val="NoSpacing"/>
        <w:numPr>
          <w:ilvl w:val="0"/>
          <w:numId w:val="6"/>
        </w:numPr>
        <w:jc w:val="both"/>
        <w:rPr>
          <w:rFonts w:ascii="Arial" w:hAnsi="Arial" w:cs="Arial"/>
          <w:b/>
          <w:bCs/>
          <w:sz w:val="20"/>
          <w:szCs w:val="20"/>
        </w:rPr>
      </w:pPr>
      <w:r w:rsidRPr="008C76FF">
        <w:rPr>
          <w:rFonts w:ascii="Arial" w:hAnsi="Arial" w:cs="Arial"/>
          <w:b/>
          <w:bCs/>
          <w:sz w:val="20"/>
          <w:szCs w:val="20"/>
        </w:rPr>
        <w:t xml:space="preserve">Consultancy Company: </w:t>
      </w:r>
    </w:p>
    <w:p w14:paraId="30155BC0" w14:textId="5878FED5" w:rsidR="00DB23DB" w:rsidRDefault="00DB23DB" w:rsidP="00626C39">
      <w:pPr>
        <w:pStyle w:val="ListParagraph"/>
        <w:numPr>
          <w:ilvl w:val="0"/>
          <w:numId w:val="17"/>
        </w:numPr>
        <w:rPr>
          <w:rFonts w:ascii="Arial" w:hAnsi="Arial" w:cs="Arial"/>
          <w:sz w:val="20"/>
          <w:szCs w:val="20"/>
        </w:rPr>
      </w:pPr>
      <w:r w:rsidRPr="00DB23DB">
        <w:rPr>
          <w:rFonts w:ascii="Arial" w:hAnsi="Arial" w:cs="Arial"/>
          <w:sz w:val="20"/>
          <w:szCs w:val="20"/>
        </w:rPr>
        <w:t>Capture high-quality photos and videos as per the agreed scope</w:t>
      </w:r>
      <w:r>
        <w:rPr>
          <w:rFonts w:ascii="Arial" w:hAnsi="Arial" w:cs="Arial"/>
          <w:sz w:val="20"/>
          <w:szCs w:val="20"/>
        </w:rPr>
        <w:t xml:space="preserve"> for live </w:t>
      </w:r>
      <w:r w:rsidR="006320CA">
        <w:rPr>
          <w:rFonts w:ascii="Arial" w:hAnsi="Arial" w:cs="Arial"/>
          <w:sz w:val="20"/>
          <w:szCs w:val="20"/>
        </w:rPr>
        <w:t>broadcast</w:t>
      </w:r>
      <w:r w:rsidRPr="00DB23DB">
        <w:rPr>
          <w:rFonts w:ascii="Arial" w:hAnsi="Arial" w:cs="Arial"/>
          <w:sz w:val="20"/>
          <w:szCs w:val="20"/>
        </w:rPr>
        <w:t>.</w:t>
      </w:r>
    </w:p>
    <w:p w14:paraId="6044F7A5" w14:textId="350F895C" w:rsidR="00626C39" w:rsidRPr="008C76FF" w:rsidRDefault="00626C39" w:rsidP="00626C39">
      <w:pPr>
        <w:pStyle w:val="ListParagraph"/>
        <w:numPr>
          <w:ilvl w:val="0"/>
          <w:numId w:val="17"/>
        </w:numPr>
        <w:rPr>
          <w:rFonts w:ascii="Arial" w:hAnsi="Arial" w:cs="Arial"/>
          <w:sz w:val="20"/>
          <w:szCs w:val="20"/>
        </w:rPr>
      </w:pPr>
      <w:r w:rsidRPr="008C76FF">
        <w:rPr>
          <w:rFonts w:ascii="Arial" w:hAnsi="Arial" w:cs="Arial"/>
          <w:sz w:val="20"/>
          <w:szCs w:val="20"/>
        </w:rPr>
        <w:t>Immediately upload all content to secure storage and create backups.</w:t>
      </w:r>
    </w:p>
    <w:p w14:paraId="50DD5A18" w14:textId="4F195F6A" w:rsidR="00626C39" w:rsidRPr="008C76FF" w:rsidRDefault="00DB23DB" w:rsidP="00626C39">
      <w:pPr>
        <w:pStyle w:val="ListParagraph"/>
        <w:numPr>
          <w:ilvl w:val="0"/>
          <w:numId w:val="17"/>
        </w:numPr>
        <w:rPr>
          <w:rFonts w:ascii="Arial" w:hAnsi="Arial" w:cs="Arial"/>
          <w:sz w:val="20"/>
          <w:szCs w:val="20"/>
        </w:rPr>
      </w:pPr>
      <w:r w:rsidRPr="00DB23DB">
        <w:rPr>
          <w:rFonts w:ascii="Arial" w:hAnsi="Arial" w:cs="Arial"/>
          <w:sz w:val="20"/>
          <w:szCs w:val="20"/>
        </w:rPr>
        <w:t>Coordinate with event organisers and the communication team to ensure coverage aligns with messaging goals.</w:t>
      </w:r>
    </w:p>
    <w:p w14:paraId="56D62CCC" w14:textId="77777777" w:rsidR="00626C39" w:rsidRDefault="00626C39" w:rsidP="00626C39">
      <w:pPr>
        <w:pStyle w:val="ListParagraph"/>
        <w:numPr>
          <w:ilvl w:val="0"/>
          <w:numId w:val="17"/>
        </w:numPr>
        <w:rPr>
          <w:rFonts w:ascii="Arial" w:hAnsi="Arial" w:cs="Arial"/>
          <w:sz w:val="20"/>
          <w:szCs w:val="20"/>
        </w:rPr>
      </w:pPr>
      <w:r w:rsidRPr="008C76FF">
        <w:rPr>
          <w:rFonts w:ascii="Arial" w:hAnsi="Arial" w:cs="Arial"/>
          <w:sz w:val="20"/>
          <w:szCs w:val="20"/>
        </w:rPr>
        <w:t>Share selected content with the communication team, providing captions and brief descriptions.</w:t>
      </w:r>
    </w:p>
    <w:p w14:paraId="50E54F06" w14:textId="34EAA42C" w:rsidR="00DB23DB" w:rsidRDefault="00DB23DB" w:rsidP="00626C39">
      <w:pPr>
        <w:pStyle w:val="ListParagraph"/>
        <w:numPr>
          <w:ilvl w:val="0"/>
          <w:numId w:val="17"/>
        </w:numPr>
        <w:rPr>
          <w:rFonts w:ascii="Arial" w:hAnsi="Arial" w:cs="Arial"/>
          <w:sz w:val="20"/>
          <w:szCs w:val="20"/>
        </w:rPr>
      </w:pPr>
      <w:r w:rsidRPr="00DB23DB">
        <w:rPr>
          <w:rFonts w:ascii="Arial" w:hAnsi="Arial" w:cs="Arial"/>
          <w:sz w:val="20"/>
          <w:szCs w:val="20"/>
        </w:rPr>
        <w:lastRenderedPageBreak/>
        <w:t>Manage media outreach by preparing press releases, media briefs, and distributing them to relevant journalists and outlets as directed.</w:t>
      </w:r>
    </w:p>
    <w:p w14:paraId="0973C8AB" w14:textId="7DD9A455" w:rsidR="00DB23DB" w:rsidRPr="008C76FF" w:rsidRDefault="00DB23DB" w:rsidP="00626C39">
      <w:pPr>
        <w:pStyle w:val="ListParagraph"/>
        <w:numPr>
          <w:ilvl w:val="0"/>
          <w:numId w:val="17"/>
        </w:numPr>
        <w:rPr>
          <w:rFonts w:ascii="Arial" w:hAnsi="Arial" w:cs="Arial"/>
          <w:sz w:val="20"/>
          <w:szCs w:val="20"/>
        </w:rPr>
      </w:pPr>
      <w:r w:rsidRPr="00DB23DB">
        <w:rPr>
          <w:rFonts w:ascii="Arial" w:hAnsi="Arial" w:cs="Arial"/>
          <w:sz w:val="20"/>
          <w:szCs w:val="20"/>
        </w:rPr>
        <w:t>Support public relations efforts by facilitating interviews, arranging media interactions, and ensuring positive coverage.</w:t>
      </w:r>
    </w:p>
    <w:p w14:paraId="3A5463FD" w14:textId="068670A5" w:rsidR="00626C39" w:rsidRPr="008C76FF" w:rsidRDefault="00626C39" w:rsidP="00626C39">
      <w:pPr>
        <w:pStyle w:val="ListParagraph"/>
        <w:numPr>
          <w:ilvl w:val="0"/>
          <w:numId w:val="17"/>
        </w:numPr>
        <w:rPr>
          <w:rFonts w:ascii="Arial" w:hAnsi="Arial" w:cs="Arial"/>
          <w:sz w:val="20"/>
          <w:szCs w:val="20"/>
        </w:rPr>
      </w:pPr>
      <w:r w:rsidRPr="008C76FF">
        <w:rPr>
          <w:rFonts w:ascii="Arial" w:hAnsi="Arial" w:cs="Arial"/>
          <w:sz w:val="20"/>
          <w:szCs w:val="20"/>
        </w:rPr>
        <w:t>Adhere to AAB’s brand guidelines and confidentiality agreements.</w:t>
      </w:r>
    </w:p>
    <w:p w14:paraId="5E760618" w14:textId="6C70A160" w:rsidR="00B03887" w:rsidRPr="00F03FAC" w:rsidRDefault="00B03887" w:rsidP="00B03887">
      <w:pPr>
        <w:ind w:left="360"/>
        <w:rPr>
          <w:rFonts w:ascii="Arial" w:hAnsi="Arial" w:cs="Arial"/>
          <w:sz w:val="20"/>
          <w:szCs w:val="20"/>
        </w:rPr>
      </w:pPr>
      <w:r w:rsidRPr="00F03FAC">
        <w:rPr>
          <w:rFonts w:ascii="Arial" w:hAnsi="Arial" w:cs="Arial"/>
          <w:sz w:val="20"/>
          <w:szCs w:val="20"/>
        </w:rPr>
        <w:t>The consultancy</w:t>
      </w:r>
      <w:r w:rsidR="00626C39" w:rsidRPr="00F03FAC">
        <w:rPr>
          <w:rFonts w:ascii="Arial" w:hAnsi="Arial" w:cs="Arial"/>
          <w:sz w:val="20"/>
          <w:szCs w:val="20"/>
        </w:rPr>
        <w:t xml:space="preserve"> Individual</w:t>
      </w:r>
      <w:r w:rsidRPr="00F03FAC">
        <w:rPr>
          <w:rFonts w:ascii="Arial" w:hAnsi="Arial" w:cs="Arial"/>
          <w:sz w:val="20"/>
          <w:szCs w:val="20"/>
        </w:rPr>
        <w:t xml:space="preserve"> will be responsible for the delivery of the final</w:t>
      </w:r>
      <w:r w:rsidR="00626C39" w:rsidRPr="00F03FAC">
        <w:rPr>
          <w:rFonts w:ascii="Arial" w:hAnsi="Arial" w:cs="Arial"/>
          <w:sz w:val="20"/>
          <w:szCs w:val="20"/>
        </w:rPr>
        <w:t xml:space="preserve"> files</w:t>
      </w:r>
      <w:r w:rsidRPr="00F03FAC">
        <w:rPr>
          <w:rFonts w:ascii="Arial" w:hAnsi="Arial" w:cs="Arial"/>
          <w:sz w:val="20"/>
          <w:szCs w:val="20"/>
        </w:rPr>
        <w:t xml:space="preserve"> to the AAB management within </w:t>
      </w:r>
      <w:r w:rsidR="00A12F3C">
        <w:rPr>
          <w:rFonts w:ascii="Arial" w:hAnsi="Arial" w:cs="Arial"/>
          <w:sz w:val="20"/>
          <w:szCs w:val="20"/>
        </w:rPr>
        <w:t>16</w:t>
      </w:r>
      <w:r w:rsidR="00626C39" w:rsidRPr="00F03FAC">
        <w:rPr>
          <w:rFonts w:ascii="Arial" w:hAnsi="Arial" w:cs="Arial"/>
          <w:sz w:val="20"/>
          <w:szCs w:val="20"/>
        </w:rPr>
        <w:t xml:space="preserve"> </w:t>
      </w:r>
      <w:r w:rsidR="00F03FAC" w:rsidRPr="00F03FAC">
        <w:rPr>
          <w:rFonts w:ascii="Arial" w:hAnsi="Arial" w:cs="Arial"/>
          <w:sz w:val="20"/>
          <w:szCs w:val="20"/>
        </w:rPr>
        <w:t>June</w:t>
      </w:r>
      <w:r w:rsidR="00626C39" w:rsidRPr="00F03FAC">
        <w:rPr>
          <w:rFonts w:ascii="Arial" w:hAnsi="Arial" w:cs="Arial"/>
          <w:sz w:val="20"/>
          <w:szCs w:val="20"/>
        </w:rPr>
        <w:t xml:space="preserve"> 202</w:t>
      </w:r>
      <w:r w:rsidR="00F03FAC" w:rsidRPr="00F03FAC">
        <w:rPr>
          <w:rFonts w:ascii="Arial" w:hAnsi="Arial" w:cs="Arial"/>
          <w:sz w:val="20"/>
          <w:szCs w:val="20"/>
        </w:rPr>
        <w:t>5</w:t>
      </w:r>
      <w:r w:rsidRPr="00F03FAC">
        <w:rPr>
          <w:rFonts w:ascii="Arial" w:hAnsi="Arial" w:cs="Arial"/>
          <w:sz w:val="20"/>
          <w:szCs w:val="20"/>
        </w:rPr>
        <w:t xml:space="preserve">. </w:t>
      </w:r>
    </w:p>
    <w:p w14:paraId="70D4B649"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Action plan and timeline</w:t>
      </w:r>
    </w:p>
    <w:tbl>
      <w:tblPr>
        <w:tblStyle w:val="TableGrid"/>
        <w:tblpPr w:leftFromText="180" w:rightFromText="180" w:vertAnchor="text" w:horzAnchor="margin" w:tblpY="49"/>
        <w:tblW w:w="9449" w:type="dxa"/>
        <w:tblLook w:val="04A0" w:firstRow="1" w:lastRow="0" w:firstColumn="1" w:lastColumn="0" w:noHBand="0" w:noVBand="1"/>
      </w:tblPr>
      <w:tblGrid>
        <w:gridCol w:w="630"/>
        <w:gridCol w:w="6655"/>
        <w:gridCol w:w="2164"/>
      </w:tblGrid>
      <w:tr w:rsidR="00626C39" w:rsidRPr="008C76FF" w14:paraId="2EF2CB3E" w14:textId="77777777" w:rsidTr="00626C39">
        <w:tc>
          <w:tcPr>
            <w:tcW w:w="630" w:type="dxa"/>
          </w:tcPr>
          <w:p w14:paraId="20C96817" w14:textId="77777777" w:rsidR="00626C39" w:rsidRPr="008C76FF" w:rsidRDefault="00626C39" w:rsidP="00626C39">
            <w:pPr>
              <w:rPr>
                <w:rFonts w:ascii="Arial" w:hAnsi="Arial" w:cs="Arial"/>
                <w:b/>
                <w:sz w:val="20"/>
                <w:szCs w:val="20"/>
              </w:rPr>
            </w:pPr>
            <w:proofErr w:type="spellStart"/>
            <w:r w:rsidRPr="008C76FF">
              <w:rPr>
                <w:rFonts w:ascii="Arial" w:hAnsi="Arial" w:cs="Arial"/>
                <w:b/>
                <w:sz w:val="20"/>
                <w:szCs w:val="20"/>
              </w:rPr>
              <w:t>Sl</w:t>
            </w:r>
            <w:proofErr w:type="spellEnd"/>
          </w:p>
        </w:tc>
        <w:tc>
          <w:tcPr>
            <w:tcW w:w="6655" w:type="dxa"/>
          </w:tcPr>
          <w:p w14:paraId="69AAF805" w14:textId="77777777" w:rsidR="00626C39" w:rsidRPr="008C76FF" w:rsidRDefault="00626C39" w:rsidP="00626C39">
            <w:pPr>
              <w:jc w:val="center"/>
              <w:rPr>
                <w:rFonts w:ascii="Arial" w:hAnsi="Arial" w:cs="Arial"/>
                <w:b/>
                <w:sz w:val="20"/>
                <w:szCs w:val="20"/>
              </w:rPr>
            </w:pPr>
            <w:r w:rsidRPr="008C76FF">
              <w:rPr>
                <w:rFonts w:ascii="Arial" w:hAnsi="Arial" w:cs="Arial"/>
                <w:b/>
                <w:sz w:val="20"/>
                <w:szCs w:val="20"/>
              </w:rPr>
              <w:t>Particular</w:t>
            </w:r>
          </w:p>
        </w:tc>
        <w:tc>
          <w:tcPr>
            <w:tcW w:w="2164" w:type="dxa"/>
          </w:tcPr>
          <w:p w14:paraId="5EF9C476" w14:textId="77777777" w:rsidR="00626C39" w:rsidRPr="008C76FF" w:rsidRDefault="00626C39" w:rsidP="00626C39">
            <w:pPr>
              <w:jc w:val="center"/>
              <w:rPr>
                <w:rFonts w:ascii="Arial" w:hAnsi="Arial" w:cs="Arial"/>
                <w:b/>
                <w:sz w:val="20"/>
                <w:szCs w:val="20"/>
              </w:rPr>
            </w:pPr>
            <w:r w:rsidRPr="008C76FF">
              <w:rPr>
                <w:rFonts w:ascii="Arial" w:hAnsi="Arial" w:cs="Arial"/>
                <w:b/>
                <w:sz w:val="20"/>
                <w:szCs w:val="20"/>
              </w:rPr>
              <w:t>Deadline</w:t>
            </w:r>
          </w:p>
        </w:tc>
      </w:tr>
      <w:tr w:rsidR="00737D75" w:rsidRPr="008C76FF" w14:paraId="2C2E486C" w14:textId="77777777" w:rsidTr="00626C39">
        <w:tc>
          <w:tcPr>
            <w:tcW w:w="630" w:type="dxa"/>
            <w:vAlign w:val="center"/>
          </w:tcPr>
          <w:p w14:paraId="336BE456" w14:textId="77777777" w:rsidR="00737D75" w:rsidRPr="008C76FF" w:rsidRDefault="00737D75" w:rsidP="00737D75">
            <w:pPr>
              <w:rPr>
                <w:rFonts w:ascii="Arial" w:hAnsi="Arial" w:cs="Arial"/>
                <w:sz w:val="20"/>
                <w:szCs w:val="20"/>
              </w:rPr>
            </w:pPr>
            <w:r w:rsidRPr="008C76FF">
              <w:rPr>
                <w:rFonts w:ascii="Arial" w:hAnsi="Arial" w:cs="Arial"/>
                <w:sz w:val="20"/>
                <w:szCs w:val="20"/>
              </w:rPr>
              <w:t>1</w:t>
            </w:r>
          </w:p>
        </w:tc>
        <w:tc>
          <w:tcPr>
            <w:tcW w:w="6655" w:type="dxa"/>
            <w:vAlign w:val="center"/>
          </w:tcPr>
          <w:p w14:paraId="4D2396C6" w14:textId="253021CC" w:rsidR="00737D75" w:rsidRPr="008C76FF" w:rsidRDefault="00737D75" w:rsidP="00626C39">
            <w:pPr>
              <w:rPr>
                <w:rFonts w:ascii="Arial" w:hAnsi="Arial" w:cs="Arial"/>
                <w:color w:val="000000" w:themeColor="text1"/>
                <w:sz w:val="20"/>
                <w:szCs w:val="20"/>
              </w:rPr>
            </w:pPr>
            <w:r w:rsidRPr="00737D75">
              <w:rPr>
                <w:rFonts w:ascii="Arial" w:hAnsi="Arial" w:cs="Arial"/>
              </w:rPr>
              <w:t>Contract signing and briefing</w:t>
            </w:r>
          </w:p>
        </w:tc>
        <w:tc>
          <w:tcPr>
            <w:tcW w:w="2164" w:type="dxa"/>
          </w:tcPr>
          <w:p w14:paraId="0D70670E" w14:textId="435B537B" w:rsidR="00737D75" w:rsidRPr="004003D7" w:rsidRDefault="00737D75" w:rsidP="00737D75">
            <w:pPr>
              <w:spacing w:before="240"/>
              <w:ind w:left="360"/>
              <w:rPr>
                <w:rFonts w:ascii="Arial" w:hAnsi="Arial" w:cs="Arial"/>
                <w:sz w:val="20"/>
                <w:szCs w:val="20"/>
              </w:rPr>
            </w:pPr>
            <w:r w:rsidRPr="004003D7">
              <w:rPr>
                <w:rFonts w:ascii="Arial" w:hAnsi="Arial" w:cs="Arial"/>
                <w:sz w:val="20"/>
                <w:szCs w:val="20"/>
              </w:rPr>
              <w:t>By 30 May 2025</w:t>
            </w:r>
          </w:p>
        </w:tc>
      </w:tr>
      <w:tr w:rsidR="00737D75" w:rsidRPr="008C76FF" w14:paraId="57C7E549" w14:textId="77777777" w:rsidTr="00626C39">
        <w:tc>
          <w:tcPr>
            <w:tcW w:w="630" w:type="dxa"/>
            <w:vAlign w:val="center"/>
          </w:tcPr>
          <w:p w14:paraId="069D23E4" w14:textId="77777777" w:rsidR="00737D75" w:rsidRPr="008C76FF" w:rsidRDefault="00737D75" w:rsidP="00737D75">
            <w:pPr>
              <w:rPr>
                <w:rFonts w:ascii="Arial" w:hAnsi="Arial" w:cs="Arial"/>
                <w:sz w:val="20"/>
                <w:szCs w:val="20"/>
              </w:rPr>
            </w:pPr>
            <w:r w:rsidRPr="008C76FF">
              <w:rPr>
                <w:rFonts w:ascii="Arial" w:hAnsi="Arial" w:cs="Arial"/>
                <w:sz w:val="20"/>
                <w:szCs w:val="20"/>
              </w:rPr>
              <w:t>2</w:t>
            </w:r>
          </w:p>
        </w:tc>
        <w:tc>
          <w:tcPr>
            <w:tcW w:w="6655" w:type="dxa"/>
            <w:vAlign w:val="center"/>
          </w:tcPr>
          <w:p w14:paraId="55768E56" w14:textId="4A64117A" w:rsidR="00737D75" w:rsidRPr="008C76FF" w:rsidRDefault="00737D75" w:rsidP="00626C39">
            <w:pPr>
              <w:rPr>
                <w:rFonts w:ascii="Arial" w:hAnsi="Arial" w:cs="Arial"/>
                <w:color w:val="000000" w:themeColor="text1"/>
                <w:sz w:val="20"/>
                <w:szCs w:val="20"/>
              </w:rPr>
            </w:pPr>
            <w:r w:rsidRPr="00737D75">
              <w:rPr>
                <w:rFonts w:ascii="Arial" w:hAnsi="Arial" w:cs="Arial"/>
              </w:rPr>
              <w:t>Pre-event planning and coordination</w:t>
            </w:r>
          </w:p>
        </w:tc>
        <w:tc>
          <w:tcPr>
            <w:tcW w:w="2164" w:type="dxa"/>
          </w:tcPr>
          <w:p w14:paraId="403F4F09" w14:textId="5F20E347" w:rsidR="00737D75" w:rsidRPr="004003D7" w:rsidRDefault="00737D75" w:rsidP="00737D75">
            <w:pPr>
              <w:spacing w:before="240"/>
              <w:ind w:left="360"/>
              <w:rPr>
                <w:rFonts w:ascii="Arial" w:hAnsi="Arial" w:cs="Arial"/>
                <w:sz w:val="20"/>
                <w:szCs w:val="20"/>
              </w:rPr>
            </w:pPr>
            <w:r w:rsidRPr="004003D7">
              <w:rPr>
                <w:rFonts w:ascii="Arial" w:hAnsi="Arial" w:cs="Arial"/>
                <w:sz w:val="20"/>
                <w:szCs w:val="20"/>
              </w:rPr>
              <w:t>1 – 10 June 2025</w:t>
            </w:r>
          </w:p>
        </w:tc>
      </w:tr>
      <w:tr w:rsidR="00737D75" w:rsidRPr="008C76FF" w14:paraId="60B32E7F" w14:textId="77777777" w:rsidTr="00626C39">
        <w:tc>
          <w:tcPr>
            <w:tcW w:w="630" w:type="dxa"/>
            <w:vAlign w:val="center"/>
          </w:tcPr>
          <w:p w14:paraId="2AB3F345" w14:textId="77777777" w:rsidR="00737D75" w:rsidRPr="008C76FF" w:rsidRDefault="00737D75" w:rsidP="00737D75">
            <w:pPr>
              <w:rPr>
                <w:rFonts w:ascii="Arial" w:hAnsi="Arial" w:cs="Arial"/>
                <w:sz w:val="20"/>
                <w:szCs w:val="20"/>
              </w:rPr>
            </w:pPr>
            <w:r w:rsidRPr="008C76FF">
              <w:rPr>
                <w:rFonts w:ascii="Arial" w:hAnsi="Arial" w:cs="Arial"/>
                <w:sz w:val="20"/>
                <w:szCs w:val="20"/>
              </w:rPr>
              <w:t>3</w:t>
            </w:r>
          </w:p>
        </w:tc>
        <w:tc>
          <w:tcPr>
            <w:tcW w:w="6655" w:type="dxa"/>
            <w:vAlign w:val="center"/>
          </w:tcPr>
          <w:p w14:paraId="5488580F" w14:textId="6CF06BFA" w:rsidR="00737D75" w:rsidRPr="008C76FF" w:rsidRDefault="00737D75" w:rsidP="00626C39">
            <w:pPr>
              <w:rPr>
                <w:rFonts w:ascii="Arial" w:hAnsi="Arial" w:cs="Arial"/>
                <w:color w:val="000000" w:themeColor="text1"/>
                <w:sz w:val="20"/>
                <w:szCs w:val="20"/>
              </w:rPr>
            </w:pPr>
            <w:r w:rsidRPr="00737D75">
              <w:rPr>
                <w:rFonts w:ascii="Arial" w:hAnsi="Arial" w:cs="Arial"/>
              </w:rPr>
              <w:t>Content preparation</w:t>
            </w:r>
          </w:p>
        </w:tc>
        <w:tc>
          <w:tcPr>
            <w:tcW w:w="2164" w:type="dxa"/>
          </w:tcPr>
          <w:p w14:paraId="0DA727EC" w14:textId="139AB630" w:rsidR="00737D75" w:rsidRPr="004003D7" w:rsidRDefault="00737D75" w:rsidP="00737D75">
            <w:pPr>
              <w:spacing w:before="240"/>
              <w:ind w:left="360"/>
              <w:rPr>
                <w:rFonts w:ascii="Arial" w:hAnsi="Arial" w:cs="Arial"/>
                <w:sz w:val="20"/>
                <w:szCs w:val="20"/>
              </w:rPr>
            </w:pPr>
            <w:r w:rsidRPr="004003D7">
              <w:rPr>
                <w:rFonts w:ascii="Arial" w:hAnsi="Arial" w:cs="Arial"/>
                <w:sz w:val="20"/>
                <w:szCs w:val="20"/>
              </w:rPr>
              <w:t>5 – 12 June 2025</w:t>
            </w:r>
          </w:p>
        </w:tc>
      </w:tr>
      <w:tr w:rsidR="00737D75" w:rsidRPr="008C76FF" w14:paraId="24A83C42" w14:textId="77777777" w:rsidTr="00626C39">
        <w:tc>
          <w:tcPr>
            <w:tcW w:w="630" w:type="dxa"/>
            <w:vAlign w:val="center"/>
          </w:tcPr>
          <w:p w14:paraId="550BACF4" w14:textId="77777777" w:rsidR="00737D75" w:rsidRPr="008C76FF" w:rsidRDefault="00737D75" w:rsidP="00737D75">
            <w:pPr>
              <w:rPr>
                <w:rFonts w:ascii="Arial" w:hAnsi="Arial" w:cs="Arial"/>
                <w:sz w:val="20"/>
                <w:szCs w:val="20"/>
              </w:rPr>
            </w:pPr>
            <w:r w:rsidRPr="008C76FF">
              <w:rPr>
                <w:rFonts w:ascii="Arial" w:hAnsi="Arial" w:cs="Arial"/>
                <w:sz w:val="20"/>
                <w:szCs w:val="20"/>
              </w:rPr>
              <w:t>4</w:t>
            </w:r>
          </w:p>
        </w:tc>
        <w:tc>
          <w:tcPr>
            <w:tcW w:w="6655" w:type="dxa"/>
            <w:vAlign w:val="center"/>
          </w:tcPr>
          <w:p w14:paraId="3BF6FF48" w14:textId="29E91C1F" w:rsidR="00737D75" w:rsidRPr="008C76FF" w:rsidRDefault="00737D75" w:rsidP="00626C39">
            <w:pPr>
              <w:rPr>
                <w:rFonts w:ascii="Arial" w:hAnsi="Arial" w:cs="Arial"/>
                <w:color w:val="000000" w:themeColor="text1"/>
                <w:sz w:val="20"/>
                <w:szCs w:val="20"/>
              </w:rPr>
            </w:pPr>
            <w:r w:rsidRPr="00737D75">
              <w:rPr>
                <w:rFonts w:ascii="Arial" w:hAnsi="Arial" w:cs="Arial"/>
              </w:rPr>
              <w:t>Technical setup and rehearsal</w:t>
            </w:r>
          </w:p>
        </w:tc>
        <w:tc>
          <w:tcPr>
            <w:tcW w:w="2164" w:type="dxa"/>
          </w:tcPr>
          <w:p w14:paraId="0DAC438D" w14:textId="64C08F1B" w:rsidR="00737D75" w:rsidRPr="004003D7" w:rsidRDefault="00737D75" w:rsidP="00737D75">
            <w:pPr>
              <w:spacing w:before="240"/>
              <w:ind w:left="360"/>
              <w:rPr>
                <w:rFonts w:ascii="Arial" w:hAnsi="Arial" w:cs="Arial"/>
                <w:sz w:val="20"/>
                <w:szCs w:val="20"/>
              </w:rPr>
            </w:pPr>
            <w:r w:rsidRPr="004003D7">
              <w:rPr>
                <w:rFonts w:ascii="Arial" w:hAnsi="Arial" w:cs="Arial"/>
                <w:sz w:val="20"/>
                <w:szCs w:val="20"/>
              </w:rPr>
              <w:t>15 June 2025</w:t>
            </w:r>
          </w:p>
        </w:tc>
      </w:tr>
      <w:tr w:rsidR="00737D75" w:rsidRPr="008C76FF" w14:paraId="07EEED63" w14:textId="77777777" w:rsidTr="00626C39">
        <w:tc>
          <w:tcPr>
            <w:tcW w:w="630" w:type="dxa"/>
            <w:vAlign w:val="center"/>
          </w:tcPr>
          <w:p w14:paraId="651C871E" w14:textId="77777777" w:rsidR="00737D75" w:rsidRPr="008C76FF" w:rsidRDefault="00737D75" w:rsidP="00737D75">
            <w:pPr>
              <w:rPr>
                <w:rFonts w:ascii="Arial" w:hAnsi="Arial" w:cs="Arial"/>
                <w:sz w:val="20"/>
                <w:szCs w:val="20"/>
              </w:rPr>
            </w:pPr>
            <w:r w:rsidRPr="008C76FF">
              <w:rPr>
                <w:rFonts w:ascii="Arial" w:hAnsi="Arial" w:cs="Arial"/>
                <w:sz w:val="20"/>
                <w:szCs w:val="20"/>
              </w:rPr>
              <w:t>5</w:t>
            </w:r>
          </w:p>
        </w:tc>
        <w:tc>
          <w:tcPr>
            <w:tcW w:w="6655" w:type="dxa"/>
            <w:vAlign w:val="center"/>
          </w:tcPr>
          <w:p w14:paraId="12786D42" w14:textId="0DE98B18" w:rsidR="00737D75" w:rsidRPr="008C76FF" w:rsidRDefault="00737D75" w:rsidP="00626C39">
            <w:pPr>
              <w:rPr>
                <w:rFonts w:ascii="Arial" w:hAnsi="Arial" w:cs="Arial"/>
                <w:color w:val="000000" w:themeColor="text1"/>
                <w:sz w:val="20"/>
                <w:szCs w:val="20"/>
              </w:rPr>
            </w:pPr>
            <w:r w:rsidRPr="00737D75">
              <w:rPr>
                <w:rFonts w:ascii="Arial" w:hAnsi="Arial" w:cs="Arial"/>
              </w:rPr>
              <w:t>Event day – Live transmission and media coverage</w:t>
            </w:r>
          </w:p>
        </w:tc>
        <w:tc>
          <w:tcPr>
            <w:tcW w:w="2164" w:type="dxa"/>
          </w:tcPr>
          <w:p w14:paraId="31042AE9" w14:textId="399AE180" w:rsidR="00737D75" w:rsidRPr="004003D7" w:rsidRDefault="00737D75" w:rsidP="00737D75">
            <w:pPr>
              <w:rPr>
                <w:rFonts w:ascii="Arial" w:hAnsi="Arial" w:cs="Arial"/>
                <w:sz w:val="20"/>
                <w:szCs w:val="20"/>
              </w:rPr>
            </w:pPr>
            <w:r w:rsidRPr="004003D7">
              <w:rPr>
                <w:rFonts w:ascii="Arial" w:hAnsi="Arial" w:cs="Arial"/>
                <w:sz w:val="20"/>
                <w:szCs w:val="20"/>
              </w:rPr>
              <w:t xml:space="preserve">      16 June 2025</w:t>
            </w:r>
          </w:p>
        </w:tc>
      </w:tr>
      <w:tr w:rsidR="00626C39" w:rsidRPr="008C76FF" w14:paraId="47206923" w14:textId="77777777" w:rsidTr="00626C39">
        <w:tc>
          <w:tcPr>
            <w:tcW w:w="630" w:type="dxa"/>
            <w:vAlign w:val="center"/>
          </w:tcPr>
          <w:p w14:paraId="7415A00A" w14:textId="530EA372" w:rsidR="00626C39" w:rsidRPr="008C76FF" w:rsidRDefault="00737D75" w:rsidP="00737D75">
            <w:pPr>
              <w:rPr>
                <w:rFonts w:ascii="Arial" w:hAnsi="Arial" w:cs="Arial"/>
                <w:sz w:val="20"/>
                <w:szCs w:val="20"/>
              </w:rPr>
            </w:pPr>
            <w:r>
              <w:rPr>
                <w:rFonts w:ascii="Arial" w:hAnsi="Arial" w:cs="Arial"/>
                <w:sz w:val="20"/>
                <w:szCs w:val="20"/>
              </w:rPr>
              <w:t>6</w:t>
            </w:r>
          </w:p>
        </w:tc>
        <w:tc>
          <w:tcPr>
            <w:tcW w:w="6655" w:type="dxa"/>
            <w:vAlign w:val="center"/>
          </w:tcPr>
          <w:p w14:paraId="7CA99EDC" w14:textId="4216A6D2" w:rsidR="00626C39" w:rsidRPr="008C76FF" w:rsidRDefault="00737D75" w:rsidP="00626C39">
            <w:pPr>
              <w:rPr>
                <w:rFonts w:ascii="Arial" w:hAnsi="Arial" w:cs="Arial"/>
                <w:color w:val="000000" w:themeColor="text1"/>
                <w:sz w:val="20"/>
                <w:szCs w:val="20"/>
              </w:rPr>
            </w:pPr>
            <w:r w:rsidRPr="00737D75">
              <w:rPr>
                <w:rFonts w:ascii="Arial" w:hAnsi="Arial" w:cs="Arial"/>
                <w:color w:val="000000" w:themeColor="text1"/>
                <w:sz w:val="20"/>
                <w:szCs w:val="20"/>
              </w:rPr>
              <w:t>Final reporting and handover</w:t>
            </w:r>
          </w:p>
        </w:tc>
        <w:tc>
          <w:tcPr>
            <w:tcW w:w="2164" w:type="dxa"/>
          </w:tcPr>
          <w:p w14:paraId="12404840" w14:textId="49DA7746" w:rsidR="00626C39" w:rsidRPr="004003D7" w:rsidRDefault="00737D75" w:rsidP="00737D75">
            <w:pPr>
              <w:rPr>
                <w:rFonts w:ascii="Arial" w:hAnsi="Arial" w:cs="Arial"/>
                <w:sz w:val="20"/>
                <w:szCs w:val="20"/>
              </w:rPr>
            </w:pPr>
            <w:r w:rsidRPr="004003D7">
              <w:rPr>
                <w:rFonts w:ascii="Arial" w:hAnsi="Arial" w:cs="Arial"/>
                <w:sz w:val="20"/>
                <w:szCs w:val="20"/>
              </w:rPr>
              <w:t xml:space="preserve">     16 June 2025</w:t>
            </w:r>
          </w:p>
        </w:tc>
      </w:tr>
    </w:tbl>
    <w:p w14:paraId="2B61FA1E" w14:textId="77777777" w:rsidR="00B03887" w:rsidRPr="008C76FF" w:rsidRDefault="00B03887" w:rsidP="00B03887">
      <w:pPr>
        <w:spacing w:after="0"/>
        <w:rPr>
          <w:rFonts w:ascii="Arial" w:hAnsi="Arial" w:cs="Arial"/>
          <w:sz w:val="20"/>
          <w:szCs w:val="20"/>
        </w:rPr>
      </w:pPr>
    </w:p>
    <w:p w14:paraId="13CF1F52" w14:textId="77777777" w:rsidR="00626C39" w:rsidRPr="008C76FF" w:rsidRDefault="00626C39" w:rsidP="00B03887">
      <w:pPr>
        <w:spacing w:after="0"/>
        <w:rPr>
          <w:rFonts w:ascii="Arial" w:hAnsi="Arial" w:cs="Arial"/>
          <w:sz w:val="20"/>
          <w:szCs w:val="20"/>
        </w:rPr>
      </w:pPr>
    </w:p>
    <w:p w14:paraId="3EBC02E4" w14:textId="774D387E" w:rsidR="00B03887" w:rsidRPr="008C76FF" w:rsidRDefault="00B03887" w:rsidP="00626C39">
      <w:pPr>
        <w:pStyle w:val="NoSpacing"/>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Requirements for submitting the proposal</w:t>
      </w:r>
    </w:p>
    <w:p w14:paraId="064BA571" w14:textId="77777777" w:rsidR="00B03887" w:rsidRPr="008C76FF" w:rsidRDefault="00B03887" w:rsidP="00B03887">
      <w:pPr>
        <w:pStyle w:val="NoSpacing"/>
        <w:jc w:val="both"/>
        <w:rPr>
          <w:rFonts w:ascii="Arial" w:hAnsi="Arial" w:cs="Arial"/>
          <w:bCs/>
          <w:sz w:val="20"/>
          <w:szCs w:val="20"/>
        </w:rPr>
      </w:pPr>
    </w:p>
    <w:p w14:paraId="29C5FBC9" w14:textId="77777777" w:rsidR="00626C39" w:rsidRPr="00BC1514" w:rsidRDefault="00626C39" w:rsidP="00626C39">
      <w:pPr>
        <w:spacing w:after="160" w:line="259" w:lineRule="auto"/>
        <w:rPr>
          <w:rFonts w:ascii="Arial" w:hAnsi="Arial" w:cs="Arial"/>
          <w:sz w:val="20"/>
          <w:szCs w:val="20"/>
        </w:rPr>
      </w:pPr>
      <w:r w:rsidRPr="00BC1514">
        <w:rPr>
          <w:rFonts w:ascii="Arial" w:hAnsi="Arial" w:cs="Arial"/>
          <w:sz w:val="20"/>
          <w:szCs w:val="20"/>
        </w:rPr>
        <w:t>The proposal will be evaluated based on the following criteria:</w:t>
      </w:r>
    </w:p>
    <w:p w14:paraId="2B5919B3" w14:textId="77777777" w:rsidR="00626C39" w:rsidRPr="00BC1514" w:rsidRDefault="00626C39" w:rsidP="00626C39">
      <w:pPr>
        <w:numPr>
          <w:ilvl w:val="0"/>
          <w:numId w:val="18"/>
        </w:numPr>
        <w:spacing w:after="160" w:line="259" w:lineRule="auto"/>
        <w:rPr>
          <w:rFonts w:ascii="Arial" w:hAnsi="Arial" w:cs="Arial"/>
          <w:sz w:val="20"/>
          <w:szCs w:val="20"/>
        </w:rPr>
      </w:pPr>
      <w:r w:rsidRPr="00BC1514">
        <w:rPr>
          <w:rFonts w:ascii="Arial" w:hAnsi="Arial" w:cs="Arial"/>
          <w:b/>
          <w:bCs/>
          <w:sz w:val="20"/>
          <w:szCs w:val="20"/>
        </w:rPr>
        <w:t>Technical Proposal:</w:t>
      </w:r>
    </w:p>
    <w:p w14:paraId="657F38D0" w14:textId="29781C4C" w:rsidR="00737D75" w:rsidRDefault="00737D75" w:rsidP="00737D75">
      <w:pPr>
        <w:pStyle w:val="ListParagraph"/>
        <w:numPr>
          <w:ilvl w:val="1"/>
          <w:numId w:val="20"/>
        </w:numPr>
        <w:spacing w:after="160" w:line="259" w:lineRule="auto"/>
        <w:rPr>
          <w:rFonts w:ascii="Arial" w:hAnsi="Arial" w:cs="Arial"/>
          <w:sz w:val="20"/>
          <w:szCs w:val="20"/>
        </w:rPr>
      </w:pPr>
      <w:r w:rsidRPr="00737D75">
        <w:rPr>
          <w:rFonts w:ascii="Arial" w:hAnsi="Arial" w:cs="Arial"/>
          <w:sz w:val="20"/>
          <w:szCs w:val="20"/>
        </w:rPr>
        <w:t xml:space="preserve">Demonstrated experience in live video production, event coverage, and media outreach, preferably for advocacy or development-related </w:t>
      </w:r>
      <w:r w:rsidR="00B16BD0" w:rsidRPr="00737D75">
        <w:rPr>
          <w:rFonts w:ascii="Arial" w:hAnsi="Arial" w:cs="Arial"/>
          <w:sz w:val="20"/>
          <w:szCs w:val="20"/>
        </w:rPr>
        <w:t>events.</w:t>
      </w:r>
      <w:r w:rsidR="00B16BD0" w:rsidRPr="008C76FF">
        <w:rPr>
          <w:rFonts w:ascii="Arial" w:hAnsi="Arial" w:cs="Arial"/>
          <w:sz w:val="20"/>
          <w:szCs w:val="20"/>
        </w:rPr>
        <w:t xml:space="preserve"> Sample</w:t>
      </w:r>
      <w:r w:rsidR="00626C39" w:rsidRPr="008C76FF">
        <w:rPr>
          <w:rFonts w:ascii="Arial" w:hAnsi="Arial" w:cs="Arial"/>
          <w:sz w:val="20"/>
          <w:szCs w:val="20"/>
        </w:rPr>
        <w:t xml:space="preserve"> of previous work in similar assignments.</w:t>
      </w:r>
    </w:p>
    <w:p w14:paraId="18798F00" w14:textId="77777777" w:rsidR="00737D75" w:rsidRDefault="00737D75" w:rsidP="00737D75">
      <w:pPr>
        <w:pStyle w:val="ListParagraph"/>
        <w:numPr>
          <w:ilvl w:val="1"/>
          <w:numId w:val="20"/>
        </w:numPr>
        <w:spacing w:after="160" w:line="259" w:lineRule="auto"/>
        <w:rPr>
          <w:rFonts w:ascii="Arial" w:hAnsi="Arial" w:cs="Arial"/>
          <w:sz w:val="20"/>
          <w:szCs w:val="20"/>
        </w:rPr>
      </w:pPr>
      <w:r w:rsidRPr="00737D75">
        <w:rPr>
          <w:rFonts w:ascii="Arial" w:hAnsi="Arial" w:cs="Arial"/>
          <w:sz w:val="20"/>
          <w:szCs w:val="20"/>
        </w:rPr>
        <w:t>Samples of previous work (e.g. live streaming, highlight reels, media engagement materials).</w:t>
      </w:r>
      <w:r>
        <w:rPr>
          <w:rFonts w:ascii="Arial" w:hAnsi="Arial" w:cs="Arial"/>
          <w:sz w:val="20"/>
          <w:szCs w:val="20"/>
        </w:rPr>
        <w:t xml:space="preserve"> </w:t>
      </w:r>
    </w:p>
    <w:p w14:paraId="0D1D52FE" w14:textId="02086E3B" w:rsidR="00737D75" w:rsidRPr="00737D75" w:rsidRDefault="00737D75" w:rsidP="00737D75">
      <w:pPr>
        <w:pStyle w:val="ListParagraph"/>
        <w:numPr>
          <w:ilvl w:val="1"/>
          <w:numId w:val="20"/>
        </w:numPr>
        <w:spacing w:after="160" w:line="259" w:lineRule="auto"/>
        <w:rPr>
          <w:rFonts w:ascii="Arial" w:hAnsi="Arial" w:cs="Arial"/>
          <w:sz w:val="20"/>
          <w:szCs w:val="20"/>
        </w:rPr>
      </w:pPr>
      <w:r w:rsidRPr="00737D75">
        <w:rPr>
          <w:rFonts w:ascii="Arial" w:hAnsi="Arial" w:cs="Arial"/>
          <w:sz w:val="20"/>
          <w:szCs w:val="20"/>
        </w:rPr>
        <w:t>Brief outline of the proposed approach, including methodology for live coverage, media coordination, and content delivery.</w:t>
      </w:r>
    </w:p>
    <w:p w14:paraId="07E85C92" w14:textId="290DAFC8" w:rsidR="00626C39" w:rsidRPr="00BC1514" w:rsidRDefault="00626C39" w:rsidP="00626C39">
      <w:pPr>
        <w:numPr>
          <w:ilvl w:val="0"/>
          <w:numId w:val="18"/>
        </w:numPr>
        <w:spacing w:after="160" w:line="259" w:lineRule="auto"/>
        <w:rPr>
          <w:rFonts w:ascii="Arial" w:hAnsi="Arial" w:cs="Arial"/>
          <w:sz w:val="20"/>
          <w:szCs w:val="20"/>
        </w:rPr>
      </w:pPr>
      <w:r w:rsidRPr="00BC1514">
        <w:rPr>
          <w:rFonts w:ascii="Arial" w:hAnsi="Arial" w:cs="Arial"/>
          <w:b/>
          <w:bCs/>
          <w:sz w:val="20"/>
          <w:szCs w:val="20"/>
        </w:rPr>
        <w:t>Financial Proposal:</w:t>
      </w:r>
    </w:p>
    <w:p w14:paraId="6F10603F" w14:textId="69153492" w:rsidR="00B03887" w:rsidRPr="008C76FF" w:rsidRDefault="00626C39" w:rsidP="00626C39">
      <w:pPr>
        <w:numPr>
          <w:ilvl w:val="1"/>
          <w:numId w:val="19"/>
        </w:numPr>
        <w:spacing w:after="160" w:line="259" w:lineRule="auto"/>
        <w:rPr>
          <w:rFonts w:ascii="Arial" w:hAnsi="Arial" w:cs="Arial"/>
          <w:sz w:val="20"/>
          <w:szCs w:val="20"/>
        </w:rPr>
      </w:pPr>
      <w:r w:rsidRPr="00BC1514">
        <w:rPr>
          <w:rFonts w:ascii="Arial" w:hAnsi="Arial" w:cs="Arial"/>
          <w:sz w:val="20"/>
          <w:szCs w:val="20"/>
        </w:rPr>
        <w:t>Detailed cost breakdown for the assignment.</w:t>
      </w:r>
    </w:p>
    <w:p w14:paraId="62493297" w14:textId="77777777" w:rsidR="00B03887" w:rsidRPr="008C76FF" w:rsidRDefault="00B03887" w:rsidP="00B03887">
      <w:pPr>
        <w:pStyle w:val="NoSpacing"/>
        <w:jc w:val="both"/>
        <w:rPr>
          <w:rFonts w:ascii="Arial" w:hAnsi="Arial" w:cs="Arial"/>
          <w:bCs/>
          <w:sz w:val="20"/>
          <w:szCs w:val="20"/>
        </w:rPr>
      </w:pPr>
    </w:p>
    <w:p w14:paraId="2D26C5AA"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Scoring criteria</w:t>
      </w:r>
    </w:p>
    <w:p w14:paraId="5A530C71" w14:textId="77777777" w:rsidR="00DB7F70" w:rsidRDefault="00DB7F70" w:rsidP="00DB7F70">
      <w:pPr>
        <w:pStyle w:val="NoSpacing"/>
        <w:ind w:left="720"/>
        <w:jc w:val="both"/>
        <w:rPr>
          <w:rFonts w:ascii="Arial" w:hAnsi="Arial" w:cs="Arial"/>
          <w:sz w:val="20"/>
          <w:szCs w:val="20"/>
        </w:rPr>
      </w:pPr>
    </w:p>
    <w:p w14:paraId="0AAC9F21" w14:textId="4B3C1088" w:rsidR="00626C39" w:rsidRPr="008C76FF" w:rsidRDefault="00626C39" w:rsidP="00626C39">
      <w:pPr>
        <w:pStyle w:val="NoSpacing"/>
        <w:numPr>
          <w:ilvl w:val="0"/>
          <w:numId w:val="21"/>
        </w:numPr>
        <w:jc w:val="both"/>
        <w:rPr>
          <w:rFonts w:ascii="Arial" w:hAnsi="Arial" w:cs="Arial"/>
          <w:sz w:val="20"/>
          <w:szCs w:val="20"/>
        </w:rPr>
      </w:pPr>
      <w:r w:rsidRPr="008C76FF">
        <w:rPr>
          <w:rFonts w:ascii="Arial" w:hAnsi="Arial" w:cs="Arial"/>
          <w:sz w:val="20"/>
          <w:szCs w:val="20"/>
        </w:rPr>
        <w:t>Relevant Experience: 30%</w:t>
      </w:r>
    </w:p>
    <w:p w14:paraId="77F3A343" w14:textId="516006A5" w:rsidR="00737D75" w:rsidRPr="00737D75" w:rsidRDefault="00626C39" w:rsidP="00737D75">
      <w:pPr>
        <w:pStyle w:val="NoSpacing"/>
        <w:numPr>
          <w:ilvl w:val="0"/>
          <w:numId w:val="21"/>
        </w:numPr>
        <w:jc w:val="both"/>
        <w:rPr>
          <w:rFonts w:ascii="Arial" w:hAnsi="Arial" w:cs="Arial"/>
          <w:sz w:val="20"/>
          <w:szCs w:val="20"/>
        </w:rPr>
      </w:pPr>
      <w:r w:rsidRPr="008C76FF">
        <w:rPr>
          <w:rFonts w:ascii="Arial" w:hAnsi="Arial" w:cs="Arial"/>
          <w:sz w:val="20"/>
          <w:szCs w:val="20"/>
        </w:rPr>
        <w:t>Creativity and Technical Expertise: 40%</w:t>
      </w:r>
    </w:p>
    <w:p w14:paraId="045E7E7B" w14:textId="0A6FA402" w:rsidR="00626C39" w:rsidRDefault="00626C39" w:rsidP="00626C39">
      <w:pPr>
        <w:pStyle w:val="NoSpacing"/>
        <w:numPr>
          <w:ilvl w:val="0"/>
          <w:numId w:val="21"/>
        </w:numPr>
        <w:jc w:val="both"/>
        <w:rPr>
          <w:rFonts w:ascii="Arial" w:hAnsi="Arial" w:cs="Arial"/>
          <w:sz w:val="20"/>
          <w:szCs w:val="20"/>
        </w:rPr>
      </w:pPr>
      <w:r w:rsidRPr="008C76FF">
        <w:rPr>
          <w:rFonts w:ascii="Arial" w:hAnsi="Arial" w:cs="Arial"/>
          <w:sz w:val="20"/>
          <w:szCs w:val="20"/>
        </w:rPr>
        <w:t>Financial Proposal: 30%</w:t>
      </w:r>
    </w:p>
    <w:p w14:paraId="4FC643A9" w14:textId="77777777" w:rsidR="00737D75" w:rsidRDefault="00737D75" w:rsidP="00737D75">
      <w:pPr>
        <w:pStyle w:val="NoSpacing"/>
        <w:ind w:left="720"/>
        <w:jc w:val="both"/>
        <w:rPr>
          <w:rFonts w:ascii="Arial" w:hAnsi="Arial" w:cs="Arial"/>
          <w:sz w:val="20"/>
          <w:szCs w:val="20"/>
        </w:rPr>
      </w:pPr>
    </w:p>
    <w:p w14:paraId="7E859CBB" w14:textId="77777777" w:rsidR="008C76FF" w:rsidRPr="008C76FF" w:rsidRDefault="008C76FF" w:rsidP="008C76FF">
      <w:pPr>
        <w:pStyle w:val="NoSpacing"/>
        <w:jc w:val="both"/>
        <w:rPr>
          <w:rFonts w:ascii="Arial" w:hAnsi="Arial" w:cs="Arial"/>
          <w:sz w:val="20"/>
          <w:szCs w:val="20"/>
        </w:rPr>
      </w:pPr>
    </w:p>
    <w:p w14:paraId="1DD424A1" w14:textId="77777777" w:rsidR="00B03887" w:rsidRPr="008C76FF" w:rsidRDefault="00B03887" w:rsidP="00B03887">
      <w:pPr>
        <w:pStyle w:val="NoSpacing"/>
        <w:spacing w:line="276" w:lineRule="auto"/>
        <w:jc w:val="both"/>
        <w:rPr>
          <w:rFonts w:ascii="Arial" w:hAnsi="Arial" w:cs="Arial"/>
          <w:sz w:val="6"/>
          <w:szCs w:val="20"/>
        </w:rPr>
      </w:pPr>
    </w:p>
    <w:p w14:paraId="6E8E0196"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Consultant’s Qualifications</w:t>
      </w:r>
    </w:p>
    <w:p w14:paraId="58DFD42C" w14:textId="77777777" w:rsidR="00B03887" w:rsidRPr="008C76FF" w:rsidRDefault="00B03887" w:rsidP="00B03887">
      <w:pPr>
        <w:spacing w:after="0" w:line="240" w:lineRule="auto"/>
        <w:jc w:val="both"/>
        <w:rPr>
          <w:rFonts w:ascii="Arial" w:hAnsi="Arial" w:cs="Arial"/>
          <w:b/>
          <w:sz w:val="12"/>
        </w:rPr>
      </w:pPr>
    </w:p>
    <w:p w14:paraId="07BF0310" w14:textId="77777777" w:rsidR="00737D75" w:rsidRDefault="00737D75" w:rsidP="00626C39">
      <w:pPr>
        <w:numPr>
          <w:ilvl w:val="0"/>
          <w:numId w:val="22"/>
        </w:numPr>
        <w:spacing w:after="160" w:line="259" w:lineRule="auto"/>
        <w:rPr>
          <w:rFonts w:ascii="Arial" w:hAnsi="Arial" w:cs="Arial"/>
          <w:sz w:val="20"/>
          <w:szCs w:val="20"/>
        </w:rPr>
      </w:pPr>
      <w:r w:rsidRPr="00737D75">
        <w:rPr>
          <w:rFonts w:ascii="Arial" w:hAnsi="Arial" w:cs="Arial"/>
          <w:sz w:val="20"/>
          <w:szCs w:val="20"/>
        </w:rPr>
        <w:t>Proven experience in live video production, media outreach, and event documentation.</w:t>
      </w:r>
    </w:p>
    <w:p w14:paraId="04447671" w14:textId="77777777" w:rsidR="00737D75" w:rsidRDefault="00737D75" w:rsidP="00626C39">
      <w:pPr>
        <w:numPr>
          <w:ilvl w:val="0"/>
          <w:numId w:val="22"/>
        </w:numPr>
        <w:spacing w:after="160" w:line="259" w:lineRule="auto"/>
        <w:rPr>
          <w:rFonts w:ascii="Arial" w:hAnsi="Arial" w:cs="Arial"/>
          <w:sz w:val="20"/>
          <w:szCs w:val="20"/>
        </w:rPr>
      </w:pPr>
      <w:r w:rsidRPr="00737D75">
        <w:rPr>
          <w:rFonts w:ascii="Arial" w:hAnsi="Arial" w:cs="Arial"/>
          <w:sz w:val="20"/>
          <w:szCs w:val="20"/>
        </w:rPr>
        <w:lastRenderedPageBreak/>
        <w:t>Strong understanding of ethical standards in capturing and sharing visual content, especially for advocacy purposes.</w:t>
      </w:r>
    </w:p>
    <w:p w14:paraId="3E27C877" w14:textId="77777777" w:rsidR="00737D75" w:rsidRDefault="00737D75" w:rsidP="00626C39">
      <w:pPr>
        <w:numPr>
          <w:ilvl w:val="0"/>
          <w:numId w:val="22"/>
        </w:numPr>
        <w:spacing w:after="160" w:line="259" w:lineRule="auto"/>
        <w:rPr>
          <w:rFonts w:ascii="Arial" w:hAnsi="Arial" w:cs="Arial"/>
          <w:sz w:val="20"/>
          <w:szCs w:val="20"/>
        </w:rPr>
      </w:pPr>
      <w:r w:rsidRPr="00737D75">
        <w:rPr>
          <w:rFonts w:ascii="Arial" w:hAnsi="Arial" w:cs="Arial"/>
          <w:sz w:val="20"/>
          <w:szCs w:val="20"/>
        </w:rPr>
        <w:t>Ability to work under pressure, manage tight timelines, and troubleshoot technical issues in real time.</w:t>
      </w:r>
    </w:p>
    <w:p w14:paraId="7D16BEB7" w14:textId="2A4542FE" w:rsidR="00626C39" w:rsidRPr="00BC1514" w:rsidRDefault="00626C39" w:rsidP="00626C39">
      <w:pPr>
        <w:numPr>
          <w:ilvl w:val="0"/>
          <w:numId w:val="22"/>
        </w:numPr>
        <w:spacing w:after="160" w:line="259" w:lineRule="auto"/>
        <w:rPr>
          <w:rFonts w:ascii="Arial" w:hAnsi="Arial" w:cs="Arial"/>
          <w:sz w:val="20"/>
          <w:szCs w:val="20"/>
        </w:rPr>
      </w:pPr>
      <w:r w:rsidRPr="00BC1514">
        <w:rPr>
          <w:rFonts w:ascii="Arial" w:hAnsi="Arial" w:cs="Arial"/>
          <w:sz w:val="20"/>
          <w:szCs w:val="20"/>
        </w:rPr>
        <w:t>Familiarity with AAB’s work and values.</w:t>
      </w:r>
    </w:p>
    <w:p w14:paraId="5EE164F8" w14:textId="77777777" w:rsidR="00B03887" w:rsidRPr="008C76FF" w:rsidRDefault="00B03887" w:rsidP="00B03887">
      <w:pPr>
        <w:spacing w:after="0" w:line="240" w:lineRule="auto"/>
        <w:jc w:val="both"/>
        <w:rPr>
          <w:rFonts w:ascii="Arial" w:hAnsi="Arial" w:cs="Arial"/>
          <w:spacing w:val="-2"/>
        </w:rPr>
      </w:pPr>
    </w:p>
    <w:p w14:paraId="07EB5F6E" w14:textId="77777777" w:rsidR="00B03887" w:rsidRDefault="00B03887" w:rsidP="00B03887">
      <w:pPr>
        <w:spacing w:after="0" w:line="240" w:lineRule="auto"/>
        <w:jc w:val="both"/>
        <w:rPr>
          <w:rFonts w:ascii="Arial" w:hAnsi="Arial" w:cs="Arial"/>
          <w:b/>
        </w:rPr>
      </w:pPr>
      <w:r w:rsidRPr="008C76FF">
        <w:rPr>
          <w:rFonts w:ascii="Arial" w:hAnsi="Arial" w:cs="Arial"/>
          <w:b/>
        </w:rPr>
        <w:t>ActionAid Bangladesh Code of Conduct</w:t>
      </w:r>
    </w:p>
    <w:p w14:paraId="6EC8563C" w14:textId="77777777" w:rsidR="006320CA" w:rsidRPr="008C76FF" w:rsidRDefault="006320CA" w:rsidP="00B03887">
      <w:pPr>
        <w:spacing w:after="0" w:line="240" w:lineRule="auto"/>
        <w:jc w:val="both"/>
        <w:rPr>
          <w:rFonts w:ascii="Arial" w:hAnsi="Arial" w:cs="Arial"/>
          <w:b/>
        </w:rPr>
      </w:pPr>
    </w:p>
    <w:p w14:paraId="6BB8B090" w14:textId="77777777" w:rsidR="00B03887" w:rsidRPr="008C76FF" w:rsidRDefault="00B03887" w:rsidP="00B03887">
      <w:pPr>
        <w:spacing w:after="0" w:line="240" w:lineRule="auto"/>
        <w:jc w:val="both"/>
        <w:rPr>
          <w:rFonts w:ascii="Arial" w:hAnsi="Arial" w:cs="Arial"/>
          <w:sz w:val="20"/>
          <w:szCs w:val="20"/>
        </w:rPr>
      </w:pPr>
      <w:r w:rsidRPr="008C76FF">
        <w:rPr>
          <w:rFonts w:ascii="Arial" w:hAnsi="Arial" w:cs="Arial"/>
          <w:sz w:val="20"/>
          <w:szCs w:val="20"/>
        </w:rPr>
        <w:t>The consultant will follow ActionAid Bangladesh’s Code of Conducts which are given below.</w:t>
      </w:r>
    </w:p>
    <w:p w14:paraId="275A6798" w14:textId="77777777" w:rsidR="00B03887" w:rsidRPr="008C76FF" w:rsidRDefault="00B03887" w:rsidP="00B03887">
      <w:pPr>
        <w:pStyle w:val="ListParagraph"/>
        <w:numPr>
          <w:ilvl w:val="0"/>
          <w:numId w:val="7"/>
        </w:numPr>
        <w:spacing w:after="0" w:line="240" w:lineRule="auto"/>
        <w:jc w:val="both"/>
        <w:rPr>
          <w:rFonts w:ascii="Arial" w:hAnsi="Arial" w:cs="Arial"/>
          <w:sz w:val="20"/>
          <w:szCs w:val="20"/>
        </w:rPr>
      </w:pPr>
      <w:r w:rsidRPr="008C76FF">
        <w:rPr>
          <w:rFonts w:ascii="Arial" w:hAnsi="Arial" w:cs="Arial"/>
          <w:spacing w:val="-2"/>
          <w:sz w:val="20"/>
          <w:szCs w:val="20"/>
        </w:rPr>
        <w:t>Consultant must adhere to a) Child Protection Policy, b) Anti Sexual Harassment policy, c) Prevention of Sexual Exploitation &amp; Abuse (PSEA) Policy and d) Sponsorship policies and procedures of AAB.</w:t>
      </w:r>
    </w:p>
    <w:p w14:paraId="5244FF9E" w14:textId="5784AB39" w:rsidR="00B03887" w:rsidRPr="008C76FF" w:rsidRDefault="00B03887" w:rsidP="00B03887">
      <w:pPr>
        <w:pStyle w:val="ListParagraph"/>
        <w:numPr>
          <w:ilvl w:val="0"/>
          <w:numId w:val="7"/>
        </w:numPr>
        <w:spacing w:after="0" w:line="240" w:lineRule="auto"/>
        <w:jc w:val="both"/>
        <w:rPr>
          <w:rFonts w:ascii="Arial" w:hAnsi="Arial" w:cs="Arial"/>
          <w:sz w:val="20"/>
          <w:szCs w:val="20"/>
        </w:rPr>
      </w:pPr>
      <w:r w:rsidRPr="008C76FF">
        <w:rPr>
          <w:rFonts w:ascii="Arial" w:hAnsi="Arial" w:cs="Arial"/>
          <w:bCs/>
          <w:sz w:val="20"/>
          <w:szCs w:val="20"/>
          <w:lang w:val="en-US"/>
        </w:rPr>
        <w:t xml:space="preserve">If any </w:t>
      </w:r>
      <w:proofErr w:type="gramStart"/>
      <w:r w:rsidRPr="008C76FF">
        <w:rPr>
          <w:rFonts w:ascii="Arial" w:hAnsi="Arial" w:cs="Arial"/>
          <w:bCs/>
          <w:sz w:val="20"/>
          <w:szCs w:val="20"/>
          <w:lang w:val="en-US"/>
        </w:rPr>
        <w:t>amount of consultant’s</w:t>
      </w:r>
      <w:proofErr w:type="gramEnd"/>
      <w:r w:rsidRPr="008C76FF">
        <w:rPr>
          <w:rFonts w:ascii="Arial" w:hAnsi="Arial" w:cs="Arial"/>
          <w:bCs/>
          <w:sz w:val="20"/>
          <w:szCs w:val="20"/>
          <w:lang w:val="en-US"/>
        </w:rPr>
        <w:t xml:space="preserve"> expenditure is disallowed by internal auditor/ representative of AAB or external auditor for misappropriation of project fund, fraud or any other irregularity, PO should be bound to refund the amount to AAB from PO’s general fund as and </w:t>
      </w:r>
      <w:r w:rsidR="00626C39" w:rsidRPr="008C76FF">
        <w:rPr>
          <w:rFonts w:ascii="Arial" w:hAnsi="Arial" w:cs="Arial"/>
          <w:bCs/>
          <w:sz w:val="20"/>
          <w:szCs w:val="20"/>
          <w:lang w:val="en-US"/>
        </w:rPr>
        <w:t>when the</w:t>
      </w:r>
      <w:r w:rsidRPr="008C76FF">
        <w:rPr>
          <w:rFonts w:ascii="Arial" w:hAnsi="Arial" w:cs="Arial"/>
          <w:bCs/>
          <w:sz w:val="20"/>
          <w:szCs w:val="20"/>
          <w:lang w:val="en-US"/>
        </w:rPr>
        <w:t xml:space="preserve"> situation arises.</w:t>
      </w:r>
    </w:p>
    <w:p w14:paraId="3C0F4297" w14:textId="77777777" w:rsidR="00B03887" w:rsidRPr="008C76FF" w:rsidRDefault="00B03887" w:rsidP="00B03887">
      <w:pPr>
        <w:pStyle w:val="ListParagraph"/>
        <w:numPr>
          <w:ilvl w:val="0"/>
          <w:numId w:val="7"/>
        </w:numPr>
        <w:spacing w:after="0" w:line="240" w:lineRule="auto"/>
        <w:jc w:val="both"/>
        <w:rPr>
          <w:rFonts w:ascii="Arial" w:hAnsi="Arial" w:cs="Arial"/>
          <w:sz w:val="20"/>
          <w:szCs w:val="20"/>
        </w:rPr>
      </w:pPr>
      <w:r w:rsidRPr="008C76FF">
        <w:rPr>
          <w:rFonts w:ascii="Arial" w:hAnsi="Arial" w:cs="Arial"/>
          <w:bCs/>
          <w:sz w:val="20"/>
          <w:szCs w:val="20"/>
          <w:lang w:val="en-US"/>
        </w:rPr>
        <w:t xml:space="preserve">The consultant must adhere to the Money Laundering Prevention Act-2012 and Anti-Terrorism Act-2009 (amended as </w:t>
      </w:r>
      <w:proofErr w:type="gramStart"/>
      <w:r w:rsidRPr="008C76FF">
        <w:rPr>
          <w:rFonts w:ascii="Arial" w:hAnsi="Arial" w:cs="Arial"/>
          <w:bCs/>
          <w:sz w:val="20"/>
          <w:szCs w:val="20"/>
          <w:lang w:val="en-US"/>
        </w:rPr>
        <w:t>on</w:t>
      </w:r>
      <w:proofErr w:type="gramEnd"/>
      <w:r w:rsidRPr="008C76FF">
        <w:rPr>
          <w:rFonts w:ascii="Arial" w:hAnsi="Arial" w:cs="Arial"/>
          <w:bCs/>
          <w:sz w:val="20"/>
          <w:szCs w:val="20"/>
          <w:lang w:val="en-US"/>
        </w:rPr>
        <w:t xml:space="preserve"> 2012 &amp; 2013) of Bangladesh Govt.</w:t>
      </w:r>
    </w:p>
    <w:p w14:paraId="4B05C06C" w14:textId="77777777" w:rsidR="00B03887" w:rsidRPr="008C76FF" w:rsidRDefault="00B03887" w:rsidP="00DB7F70">
      <w:pPr>
        <w:pStyle w:val="NoSpacing"/>
        <w:spacing w:line="276" w:lineRule="auto"/>
        <w:jc w:val="both"/>
        <w:rPr>
          <w:rFonts w:ascii="Arial" w:hAnsi="Arial" w:cs="Arial"/>
          <w:sz w:val="20"/>
          <w:szCs w:val="20"/>
        </w:rPr>
      </w:pPr>
    </w:p>
    <w:p w14:paraId="36B3CC12"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Contract Period</w:t>
      </w:r>
    </w:p>
    <w:p w14:paraId="2AA8AA67" w14:textId="77777777" w:rsidR="00B03887" w:rsidRPr="008C76FF" w:rsidRDefault="00B03887" w:rsidP="00B03887">
      <w:pPr>
        <w:pStyle w:val="NoSpacing"/>
        <w:spacing w:line="276" w:lineRule="auto"/>
        <w:jc w:val="both"/>
        <w:rPr>
          <w:rFonts w:ascii="Arial" w:hAnsi="Arial" w:cs="Arial"/>
          <w:sz w:val="20"/>
          <w:szCs w:val="20"/>
        </w:rPr>
      </w:pPr>
    </w:p>
    <w:p w14:paraId="239DFF6C" w14:textId="3BF2C7F4" w:rsidR="00B03887" w:rsidRPr="008C76FF" w:rsidRDefault="00B03887" w:rsidP="00B03887">
      <w:pPr>
        <w:pStyle w:val="NoSpacing"/>
        <w:spacing w:line="276" w:lineRule="auto"/>
        <w:jc w:val="both"/>
        <w:rPr>
          <w:rFonts w:ascii="Arial" w:hAnsi="Arial" w:cs="Arial"/>
          <w:sz w:val="20"/>
          <w:szCs w:val="20"/>
        </w:rPr>
      </w:pPr>
      <w:r w:rsidRPr="008C76FF">
        <w:rPr>
          <w:rFonts w:ascii="Arial" w:hAnsi="Arial" w:cs="Arial"/>
          <w:sz w:val="20"/>
          <w:szCs w:val="20"/>
        </w:rPr>
        <w:t xml:space="preserve">This contract will be effective from </w:t>
      </w:r>
      <w:r w:rsidR="006320CA">
        <w:rPr>
          <w:rFonts w:ascii="Arial" w:hAnsi="Arial" w:cs="Arial"/>
          <w:sz w:val="20"/>
          <w:szCs w:val="20"/>
        </w:rPr>
        <w:t>30</w:t>
      </w:r>
      <w:r w:rsidRPr="008C76FF">
        <w:rPr>
          <w:rFonts w:ascii="Arial" w:hAnsi="Arial" w:cs="Arial"/>
          <w:sz w:val="20"/>
          <w:szCs w:val="20"/>
        </w:rPr>
        <w:t xml:space="preserve"> </w:t>
      </w:r>
      <w:r w:rsidR="006320CA">
        <w:rPr>
          <w:rFonts w:ascii="Arial" w:hAnsi="Arial" w:cs="Arial"/>
          <w:sz w:val="20"/>
          <w:szCs w:val="20"/>
        </w:rPr>
        <w:t>May</w:t>
      </w:r>
      <w:r w:rsidRPr="008C76FF">
        <w:rPr>
          <w:rFonts w:ascii="Arial" w:hAnsi="Arial" w:cs="Arial"/>
          <w:sz w:val="20"/>
          <w:szCs w:val="20"/>
        </w:rPr>
        <w:t xml:space="preserve"> 202</w:t>
      </w:r>
      <w:r w:rsidR="006320CA">
        <w:rPr>
          <w:rFonts w:ascii="Arial" w:hAnsi="Arial" w:cs="Arial"/>
          <w:sz w:val="20"/>
          <w:szCs w:val="20"/>
        </w:rPr>
        <w:t>5</w:t>
      </w:r>
      <w:r w:rsidRPr="008C76FF">
        <w:rPr>
          <w:rFonts w:ascii="Arial" w:hAnsi="Arial" w:cs="Arial"/>
          <w:sz w:val="20"/>
          <w:szCs w:val="20"/>
        </w:rPr>
        <w:t xml:space="preserve"> to </w:t>
      </w:r>
      <w:r w:rsidR="006320CA">
        <w:rPr>
          <w:rFonts w:ascii="Arial" w:hAnsi="Arial" w:cs="Arial"/>
          <w:sz w:val="20"/>
          <w:szCs w:val="20"/>
        </w:rPr>
        <w:t>1</w:t>
      </w:r>
      <w:r w:rsidR="00CC523C">
        <w:rPr>
          <w:rFonts w:ascii="Arial" w:hAnsi="Arial" w:cs="Arial"/>
          <w:sz w:val="20"/>
          <w:szCs w:val="20"/>
        </w:rPr>
        <w:t>6</w:t>
      </w:r>
      <w:r w:rsidRPr="008C76FF">
        <w:rPr>
          <w:rFonts w:ascii="Arial" w:hAnsi="Arial" w:cs="Arial"/>
          <w:sz w:val="20"/>
          <w:szCs w:val="20"/>
          <w:vertAlign w:val="superscript"/>
        </w:rPr>
        <w:t xml:space="preserve"> </w:t>
      </w:r>
      <w:r w:rsidR="006320CA">
        <w:rPr>
          <w:rFonts w:ascii="Arial" w:hAnsi="Arial" w:cs="Arial"/>
          <w:sz w:val="20"/>
          <w:szCs w:val="20"/>
        </w:rPr>
        <w:t>June</w:t>
      </w:r>
      <w:r w:rsidRPr="008C76FF">
        <w:rPr>
          <w:rFonts w:ascii="Arial" w:hAnsi="Arial" w:cs="Arial"/>
          <w:sz w:val="20"/>
          <w:szCs w:val="20"/>
        </w:rPr>
        <w:t xml:space="preserve"> 202</w:t>
      </w:r>
      <w:r w:rsidR="006320CA">
        <w:rPr>
          <w:rFonts w:ascii="Arial" w:hAnsi="Arial" w:cs="Arial"/>
          <w:sz w:val="20"/>
          <w:szCs w:val="20"/>
        </w:rPr>
        <w:t>5</w:t>
      </w:r>
      <w:r w:rsidRPr="008C76FF">
        <w:rPr>
          <w:rFonts w:ascii="Arial" w:hAnsi="Arial" w:cs="Arial"/>
          <w:sz w:val="20"/>
          <w:szCs w:val="20"/>
        </w:rPr>
        <w:t xml:space="preserve">. </w:t>
      </w:r>
    </w:p>
    <w:p w14:paraId="7F5C8914" w14:textId="77777777" w:rsidR="00B03887" w:rsidRPr="008C76FF" w:rsidRDefault="00B03887" w:rsidP="00B03887">
      <w:pPr>
        <w:pStyle w:val="NoSpacing"/>
        <w:spacing w:line="276" w:lineRule="auto"/>
        <w:jc w:val="both"/>
        <w:rPr>
          <w:rFonts w:ascii="Arial" w:hAnsi="Arial" w:cs="Arial"/>
          <w:sz w:val="20"/>
          <w:szCs w:val="20"/>
        </w:rPr>
      </w:pPr>
    </w:p>
    <w:p w14:paraId="1C03C2F9" w14:textId="77777777" w:rsidR="00B03887" w:rsidRPr="008C76FF" w:rsidRDefault="00B03887" w:rsidP="00B03887">
      <w:pPr>
        <w:pStyle w:val="NoSpacing"/>
        <w:jc w:val="both"/>
        <w:rPr>
          <w:rFonts w:ascii="Arial" w:hAnsi="Arial" w:cs="Arial"/>
          <w:bCs/>
          <w:color w:val="000000"/>
          <w:sz w:val="20"/>
          <w:szCs w:val="20"/>
        </w:rPr>
      </w:pPr>
    </w:p>
    <w:p w14:paraId="575B83ED"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Payment</w:t>
      </w:r>
    </w:p>
    <w:p w14:paraId="6CE10126" w14:textId="77777777" w:rsidR="00B03887" w:rsidRPr="008C76FF" w:rsidRDefault="00B03887" w:rsidP="00B03887">
      <w:pPr>
        <w:pStyle w:val="NoSpacing"/>
        <w:spacing w:line="276" w:lineRule="auto"/>
        <w:jc w:val="both"/>
        <w:rPr>
          <w:rFonts w:ascii="Arial" w:hAnsi="Arial" w:cs="Arial"/>
          <w:sz w:val="20"/>
          <w:szCs w:val="20"/>
        </w:rPr>
      </w:pPr>
    </w:p>
    <w:p w14:paraId="0EF5F7C8" w14:textId="2A004714" w:rsidR="00B03887" w:rsidRPr="008C76FF" w:rsidRDefault="00B03887" w:rsidP="00B03887">
      <w:pPr>
        <w:pStyle w:val="NoSpacing"/>
        <w:spacing w:line="276" w:lineRule="auto"/>
        <w:jc w:val="both"/>
        <w:rPr>
          <w:rFonts w:ascii="Arial" w:hAnsi="Arial" w:cs="Arial"/>
          <w:sz w:val="20"/>
          <w:szCs w:val="20"/>
        </w:rPr>
      </w:pPr>
      <w:r w:rsidRPr="008C76FF">
        <w:rPr>
          <w:rFonts w:ascii="Arial" w:hAnsi="Arial" w:cs="Arial"/>
          <w:sz w:val="20"/>
          <w:szCs w:val="20"/>
        </w:rPr>
        <w:t xml:space="preserve">VAT and Tax will be deducted from source as per rules and regulations of </w:t>
      </w:r>
      <w:proofErr w:type="spellStart"/>
      <w:r w:rsidRPr="008C76FF">
        <w:rPr>
          <w:rFonts w:ascii="Arial" w:hAnsi="Arial" w:cs="Arial"/>
          <w:sz w:val="20"/>
          <w:szCs w:val="20"/>
        </w:rPr>
        <w:t>GoB</w:t>
      </w:r>
      <w:proofErr w:type="spellEnd"/>
      <w:r w:rsidRPr="008C76FF">
        <w:rPr>
          <w:rFonts w:ascii="Arial" w:hAnsi="Arial" w:cs="Arial"/>
          <w:sz w:val="20"/>
          <w:szCs w:val="20"/>
        </w:rPr>
        <w:t xml:space="preserve"> unless the vendor produced evidence of the TIN. If the vendor provides </w:t>
      </w:r>
      <w:r w:rsidR="00626C39" w:rsidRPr="008C76FF">
        <w:rPr>
          <w:rFonts w:ascii="Arial" w:hAnsi="Arial" w:cs="Arial"/>
          <w:sz w:val="20"/>
          <w:szCs w:val="20"/>
        </w:rPr>
        <w:t>evidence,</w:t>
      </w:r>
      <w:r w:rsidRPr="008C76FF">
        <w:rPr>
          <w:rFonts w:ascii="Arial" w:hAnsi="Arial" w:cs="Arial"/>
          <w:sz w:val="20"/>
          <w:szCs w:val="20"/>
        </w:rPr>
        <w:t xml:space="preserve"> then, the entity will be responsible for making the payments associated with Tax to the Government of Bangladesh and provide the copy of the receipt to AAB. </w:t>
      </w:r>
    </w:p>
    <w:p w14:paraId="0D2F7991" w14:textId="6BEDA12C" w:rsidR="00B03887" w:rsidRPr="008C76FF" w:rsidRDefault="00B03887" w:rsidP="00B03887">
      <w:pPr>
        <w:pStyle w:val="NoSpacing"/>
        <w:spacing w:line="276" w:lineRule="auto"/>
        <w:jc w:val="both"/>
        <w:rPr>
          <w:rFonts w:ascii="Arial" w:hAnsi="Arial" w:cs="Arial"/>
          <w:sz w:val="20"/>
          <w:szCs w:val="20"/>
        </w:rPr>
      </w:pPr>
      <w:r w:rsidRPr="008C76FF">
        <w:rPr>
          <w:rFonts w:ascii="Arial" w:hAnsi="Arial" w:cs="Arial"/>
          <w:sz w:val="20"/>
          <w:szCs w:val="20"/>
        </w:rPr>
        <w:t xml:space="preserve">AAB will pay the amount in favour of the vendor through Bank transfer or A/C Payee Cheques. Payment will be made only after the successful delivery of the deliverables mentioned in section “J”. No advance will be </w:t>
      </w:r>
      <w:r w:rsidR="00E8026C" w:rsidRPr="008C76FF">
        <w:rPr>
          <w:rFonts w:ascii="Arial" w:hAnsi="Arial" w:cs="Arial"/>
          <w:sz w:val="20"/>
          <w:szCs w:val="20"/>
        </w:rPr>
        <w:t>paid</w:t>
      </w:r>
      <w:r w:rsidRPr="008C76FF">
        <w:rPr>
          <w:rFonts w:ascii="Arial" w:hAnsi="Arial" w:cs="Arial"/>
          <w:sz w:val="20"/>
          <w:szCs w:val="20"/>
        </w:rPr>
        <w:t xml:space="preserve"> in this regard. </w:t>
      </w:r>
    </w:p>
    <w:p w14:paraId="71577535" w14:textId="77777777" w:rsidR="00B03887" w:rsidRPr="008C76FF" w:rsidRDefault="00B03887" w:rsidP="00B03887">
      <w:pPr>
        <w:pStyle w:val="NoSpacing"/>
        <w:jc w:val="both"/>
        <w:rPr>
          <w:rFonts w:ascii="Arial" w:hAnsi="Arial" w:cs="Arial"/>
          <w:bCs/>
          <w:sz w:val="20"/>
          <w:szCs w:val="20"/>
        </w:rPr>
      </w:pPr>
    </w:p>
    <w:p w14:paraId="433861AC"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Deliverables:</w:t>
      </w:r>
    </w:p>
    <w:p w14:paraId="6507E138" w14:textId="77777777" w:rsidR="00B03887" w:rsidRPr="008C76FF" w:rsidRDefault="00B03887" w:rsidP="00B03887">
      <w:pPr>
        <w:pStyle w:val="NoSpacing"/>
        <w:ind w:left="720"/>
        <w:jc w:val="both"/>
        <w:rPr>
          <w:rFonts w:ascii="Arial" w:hAnsi="Arial" w:cs="Arial"/>
          <w:bCs/>
          <w:sz w:val="20"/>
          <w:szCs w:val="20"/>
        </w:rPr>
      </w:pPr>
    </w:p>
    <w:p w14:paraId="51AB9C0B" w14:textId="6067BB5F" w:rsidR="00626C39" w:rsidRPr="006320CA" w:rsidRDefault="006320CA" w:rsidP="006320CA">
      <w:pPr>
        <w:pStyle w:val="NoSpacing"/>
        <w:numPr>
          <w:ilvl w:val="0"/>
          <w:numId w:val="23"/>
        </w:numPr>
        <w:jc w:val="both"/>
        <w:rPr>
          <w:rFonts w:ascii="Arial" w:hAnsi="Arial" w:cs="Arial"/>
          <w:bCs/>
          <w:sz w:val="20"/>
          <w:szCs w:val="20"/>
        </w:rPr>
      </w:pPr>
      <w:r w:rsidRPr="006320CA">
        <w:rPr>
          <w:rFonts w:ascii="Arial" w:hAnsi="Arial" w:cs="Arial"/>
          <w:bCs/>
          <w:sz w:val="20"/>
          <w:szCs w:val="20"/>
        </w:rPr>
        <w:t>Live video transmission and Media outreach</w:t>
      </w:r>
      <w:r>
        <w:rPr>
          <w:rFonts w:ascii="Arial" w:hAnsi="Arial" w:cs="Arial"/>
          <w:bCs/>
          <w:sz w:val="20"/>
          <w:szCs w:val="20"/>
        </w:rPr>
        <w:t xml:space="preserve"> </w:t>
      </w:r>
      <w:r w:rsidRPr="006320CA">
        <w:rPr>
          <w:rFonts w:ascii="Arial" w:hAnsi="Arial" w:cs="Arial"/>
          <w:bCs/>
          <w:sz w:val="20"/>
          <w:szCs w:val="20"/>
        </w:rPr>
        <w:t xml:space="preserve">for Daily Star round table on </w:t>
      </w:r>
      <w:r>
        <w:rPr>
          <w:rFonts w:ascii="Arial" w:hAnsi="Arial" w:cs="Arial"/>
          <w:bCs/>
          <w:sz w:val="20"/>
          <w:szCs w:val="20"/>
        </w:rPr>
        <w:t>“</w:t>
      </w:r>
      <w:r w:rsidRPr="006320CA">
        <w:rPr>
          <w:rFonts w:ascii="Arial" w:hAnsi="Arial" w:cs="Arial"/>
          <w:bCs/>
          <w:sz w:val="20"/>
          <w:szCs w:val="20"/>
        </w:rPr>
        <w:t>Direct voting for female</w:t>
      </w:r>
      <w:r>
        <w:rPr>
          <w:rFonts w:ascii="Arial" w:hAnsi="Arial" w:cs="Arial"/>
          <w:bCs/>
          <w:sz w:val="20"/>
          <w:szCs w:val="20"/>
        </w:rPr>
        <w:t>”.</w:t>
      </w:r>
    </w:p>
    <w:p w14:paraId="6F26B0D6" w14:textId="77777777" w:rsidR="00B03887" w:rsidRPr="008C76FF" w:rsidRDefault="00B03887" w:rsidP="00B03887">
      <w:pPr>
        <w:pStyle w:val="NoSpacing"/>
        <w:jc w:val="both"/>
        <w:rPr>
          <w:rFonts w:ascii="Arial" w:hAnsi="Arial" w:cs="Arial"/>
          <w:bCs/>
          <w:sz w:val="20"/>
          <w:szCs w:val="20"/>
        </w:rPr>
      </w:pPr>
    </w:p>
    <w:p w14:paraId="3A5B0385" w14:textId="77777777" w:rsidR="00B03887" w:rsidRPr="008C76FF" w:rsidRDefault="00B03887" w:rsidP="00B03887">
      <w:pPr>
        <w:pStyle w:val="NoSpacing"/>
        <w:jc w:val="both"/>
        <w:rPr>
          <w:rFonts w:ascii="Arial" w:hAnsi="Arial" w:cs="Arial"/>
          <w:bCs/>
          <w:i/>
          <w:sz w:val="20"/>
          <w:szCs w:val="20"/>
          <w:lang w:val="en-US"/>
        </w:rPr>
      </w:pPr>
    </w:p>
    <w:p w14:paraId="50A2CFDF"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Reporting to</w:t>
      </w:r>
    </w:p>
    <w:p w14:paraId="110D6D97" w14:textId="77777777" w:rsidR="00B03887" w:rsidRPr="008C76FF" w:rsidRDefault="00B03887" w:rsidP="00B03887">
      <w:pPr>
        <w:pStyle w:val="NoSpacing"/>
        <w:ind w:left="360"/>
        <w:jc w:val="both"/>
        <w:rPr>
          <w:rFonts w:ascii="Arial" w:hAnsi="Arial" w:cs="Arial"/>
          <w:sz w:val="20"/>
          <w:szCs w:val="20"/>
        </w:rPr>
      </w:pPr>
    </w:p>
    <w:p w14:paraId="4B31E996" w14:textId="77777777" w:rsidR="00B03887" w:rsidRPr="008C76FF" w:rsidRDefault="00B03887" w:rsidP="00B03887">
      <w:pPr>
        <w:pStyle w:val="NoSpacing"/>
        <w:ind w:left="360"/>
        <w:jc w:val="both"/>
        <w:rPr>
          <w:rFonts w:ascii="Arial" w:hAnsi="Arial" w:cs="Arial"/>
          <w:b/>
          <w:bCs/>
          <w:sz w:val="20"/>
          <w:szCs w:val="20"/>
        </w:rPr>
      </w:pPr>
      <w:r w:rsidRPr="008C76FF">
        <w:rPr>
          <w:rFonts w:ascii="Arial" w:hAnsi="Arial" w:cs="Arial"/>
          <w:b/>
          <w:bCs/>
          <w:sz w:val="20"/>
          <w:szCs w:val="20"/>
        </w:rPr>
        <w:t>Shabbir Rahman</w:t>
      </w:r>
    </w:p>
    <w:p w14:paraId="54DAEE04" w14:textId="77777777" w:rsidR="00B03887" w:rsidRPr="008C76FF" w:rsidRDefault="00B03887" w:rsidP="00B03887">
      <w:pPr>
        <w:pStyle w:val="NoSpacing"/>
        <w:ind w:left="360"/>
        <w:jc w:val="both"/>
        <w:rPr>
          <w:rFonts w:ascii="Arial" w:hAnsi="Arial" w:cs="Arial"/>
          <w:sz w:val="20"/>
          <w:szCs w:val="20"/>
        </w:rPr>
      </w:pPr>
      <w:r w:rsidRPr="008C76FF">
        <w:rPr>
          <w:rFonts w:ascii="Arial" w:hAnsi="Arial" w:cs="Arial"/>
          <w:sz w:val="20"/>
          <w:szCs w:val="20"/>
        </w:rPr>
        <w:t xml:space="preserve">Manager- Communication, ActionAid Bangladesh </w:t>
      </w:r>
    </w:p>
    <w:p w14:paraId="6DE9F714" w14:textId="77777777" w:rsidR="00B03887" w:rsidRPr="008C76FF" w:rsidRDefault="00B03887" w:rsidP="00B03887">
      <w:pPr>
        <w:pStyle w:val="NoSpacing"/>
        <w:ind w:left="360"/>
        <w:jc w:val="both"/>
        <w:rPr>
          <w:rFonts w:ascii="Arial" w:hAnsi="Arial" w:cs="Arial"/>
          <w:sz w:val="20"/>
          <w:szCs w:val="20"/>
        </w:rPr>
      </w:pPr>
      <w:r w:rsidRPr="008C76FF">
        <w:rPr>
          <w:rFonts w:ascii="Arial" w:hAnsi="Arial" w:cs="Arial"/>
          <w:sz w:val="20"/>
          <w:szCs w:val="20"/>
        </w:rPr>
        <w:t xml:space="preserve">And </w:t>
      </w:r>
    </w:p>
    <w:p w14:paraId="43B89C1F" w14:textId="42D47958" w:rsidR="00B03887" w:rsidRPr="008C76FF" w:rsidRDefault="00B03887" w:rsidP="00B03887">
      <w:pPr>
        <w:pStyle w:val="NoSpacing"/>
        <w:ind w:left="360"/>
        <w:jc w:val="both"/>
        <w:rPr>
          <w:rFonts w:ascii="Arial" w:hAnsi="Arial" w:cs="Arial"/>
          <w:b/>
          <w:bCs/>
          <w:sz w:val="20"/>
          <w:szCs w:val="20"/>
        </w:rPr>
      </w:pPr>
      <w:r w:rsidRPr="008C76FF">
        <w:rPr>
          <w:rFonts w:ascii="Arial" w:hAnsi="Arial" w:cs="Arial"/>
          <w:b/>
          <w:bCs/>
          <w:sz w:val="20"/>
          <w:szCs w:val="20"/>
        </w:rPr>
        <w:t>Md: Jahid-E-Hasan</w:t>
      </w:r>
    </w:p>
    <w:p w14:paraId="1C4A33CC" w14:textId="58834A4D" w:rsidR="00B03887" w:rsidRPr="008C76FF" w:rsidRDefault="00B03887" w:rsidP="00B03887">
      <w:pPr>
        <w:pStyle w:val="NoSpacing"/>
        <w:ind w:left="360"/>
        <w:jc w:val="both"/>
        <w:rPr>
          <w:rFonts w:ascii="Arial" w:hAnsi="Arial" w:cs="Arial"/>
          <w:sz w:val="20"/>
          <w:szCs w:val="20"/>
        </w:rPr>
      </w:pPr>
      <w:r w:rsidRPr="008C76FF">
        <w:rPr>
          <w:rFonts w:ascii="Arial" w:hAnsi="Arial" w:cs="Arial"/>
          <w:sz w:val="20"/>
          <w:szCs w:val="20"/>
        </w:rPr>
        <w:t>Senior Officer</w:t>
      </w:r>
      <w:r w:rsidR="0079771D">
        <w:rPr>
          <w:rFonts w:ascii="Arial" w:hAnsi="Arial" w:cs="Arial"/>
          <w:sz w:val="20"/>
          <w:szCs w:val="20"/>
        </w:rPr>
        <w:t>-Communication</w:t>
      </w:r>
      <w:r w:rsidRPr="008C76FF">
        <w:rPr>
          <w:rFonts w:ascii="Arial" w:hAnsi="Arial" w:cs="Arial"/>
          <w:sz w:val="20"/>
          <w:szCs w:val="20"/>
        </w:rPr>
        <w:t>, ActionAid Bangladesh</w:t>
      </w:r>
    </w:p>
    <w:p w14:paraId="65B1C71D" w14:textId="77777777" w:rsidR="00B03887" w:rsidRPr="008C76FF" w:rsidRDefault="00B03887" w:rsidP="00B03887">
      <w:pPr>
        <w:pStyle w:val="NoSpacing"/>
        <w:jc w:val="both"/>
        <w:rPr>
          <w:rFonts w:ascii="Arial" w:hAnsi="Arial" w:cs="Arial"/>
          <w:sz w:val="20"/>
          <w:szCs w:val="20"/>
        </w:rPr>
      </w:pPr>
    </w:p>
    <w:p w14:paraId="7030919A" w14:textId="77777777" w:rsidR="00B03887" w:rsidRPr="008C76FF" w:rsidRDefault="00B03887" w:rsidP="00B03887">
      <w:pPr>
        <w:pStyle w:val="NoSpacing"/>
        <w:numPr>
          <w:ilvl w:val="0"/>
          <w:numId w:val="3"/>
        </w:numPr>
        <w:shd w:val="clear" w:color="auto" w:fill="ADADAD" w:themeFill="background2" w:themeFillShade="BF"/>
        <w:jc w:val="both"/>
        <w:rPr>
          <w:rFonts w:ascii="Arial" w:hAnsi="Arial" w:cs="Arial"/>
          <w:b/>
          <w:bCs/>
          <w:sz w:val="20"/>
          <w:szCs w:val="20"/>
        </w:rPr>
      </w:pPr>
      <w:r w:rsidRPr="008C76FF">
        <w:rPr>
          <w:rFonts w:ascii="Arial" w:hAnsi="Arial" w:cs="Arial"/>
          <w:b/>
          <w:bCs/>
          <w:sz w:val="20"/>
          <w:szCs w:val="20"/>
        </w:rPr>
        <w:t>Expiry of Agreement and Negotiable Flexibility</w:t>
      </w:r>
    </w:p>
    <w:p w14:paraId="124EBAA2" w14:textId="77777777" w:rsidR="00B03887" w:rsidRPr="008C76FF" w:rsidRDefault="00B03887" w:rsidP="00B03887">
      <w:pPr>
        <w:pStyle w:val="NoSpacing"/>
        <w:ind w:left="360"/>
        <w:jc w:val="both"/>
        <w:rPr>
          <w:rFonts w:ascii="Arial" w:hAnsi="Arial" w:cs="Arial"/>
          <w:sz w:val="20"/>
          <w:szCs w:val="20"/>
        </w:rPr>
      </w:pPr>
    </w:p>
    <w:p w14:paraId="715A8BBA" w14:textId="77777777" w:rsidR="00B03887" w:rsidRPr="008C76FF" w:rsidRDefault="00B03887" w:rsidP="00B03887">
      <w:pPr>
        <w:spacing w:after="0" w:line="240" w:lineRule="auto"/>
        <w:jc w:val="both"/>
        <w:rPr>
          <w:rFonts w:ascii="Arial" w:hAnsi="Arial" w:cs="Arial"/>
          <w:sz w:val="20"/>
          <w:szCs w:val="20"/>
        </w:rPr>
      </w:pPr>
      <w:r w:rsidRPr="008C76FF">
        <w:rPr>
          <w:rFonts w:ascii="Arial" w:hAnsi="Arial" w:cs="Arial"/>
          <w:sz w:val="20"/>
          <w:szCs w:val="20"/>
        </w:rPr>
        <w:t>There will be an agreement between AAB and the consultancy firm for the mentioned period. The Agreement will be invalidated after expiry of duration unless further extension is made by AAB. AAB also reserves the rights to amend or change or cancel the agreement at any stage.</w:t>
      </w:r>
    </w:p>
    <w:p w14:paraId="39AF4539" w14:textId="77777777" w:rsidR="00B03887" w:rsidRPr="008C76FF" w:rsidRDefault="00B03887" w:rsidP="00B03887">
      <w:pPr>
        <w:spacing w:after="0" w:line="240" w:lineRule="auto"/>
        <w:jc w:val="both"/>
        <w:rPr>
          <w:rFonts w:ascii="Arial" w:hAnsi="Arial" w:cs="Arial"/>
          <w:sz w:val="20"/>
          <w:szCs w:val="20"/>
        </w:rPr>
      </w:pPr>
    </w:p>
    <w:p w14:paraId="13FF6FDB" w14:textId="77777777" w:rsidR="00B03887" w:rsidRDefault="00B03887" w:rsidP="00B03887">
      <w:pPr>
        <w:spacing w:after="0" w:line="240" w:lineRule="auto"/>
        <w:jc w:val="both"/>
        <w:rPr>
          <w:rFonts w:ascii="Arial" w:hAnsi="Arial" w:cs="Arial"/>
          <w:sz w:val="20"/>
          <w:szCs w:val="20"/>
        </w:rPr>
      </w:pPr>
      <w:r w:rsidRPr="008C76FF">
        <w:rPr>
          <w:rFonts w:ascii="Arial" w:hAnsi="Arial" w:cs="Arial"/>
          <w:sz w:val="20"/>
          <w:szCs w:val="20"/>
        </w:rPr>
        <w:t xml:space="preserve">In the event of a major natural disaster, war or major civil or political unrest this agreement may be renegotiated and jointly revised between the two parties recognising any consequent changes in the environment for implementation. </w:t>
      </w:r>
    </w:p>
    <w:p w14:paraId="46E98605" w14:textId="77777777" w:rsidR="006320CA" w:rsidRDefault="006320CA" w:rsidP="00B03887">
      <w:pPr>
        <w:spacing w:after="0" w:line="240" w:lineRule="auto"/>
        <w:jc w:val="both"/>
        <w:rPr>
          <w:rFonts w:ascii="Arial" w:hAnsi="Arial" w:cs="Arial"/>
          <w:sz w:val="20"/>
          <w:szCs w:val="20"/>
        </w:rPr>
      </w:pPr>
    </w:p>
    <w:p w14:paraId="7F6DABCF" w14:textId="77777777" w:rsidR="00D21360" w:rsidRDefault="00D21360" w:rsidP="00B03887">
      <w:pPr>
        <w:spacing w:after="0" w:line="240" w:lineRule="auto"/>
        <w:jc w:val="both"/>
        <w:rPr>
          <w:rFonts w:ascii="Arial" w:hAnsi="Arial" w:cs="Arial"/>
          <w:sz w:val="20"/>
          <w:szCs w:val="20"/>
        </w:rPr>
      </w:pPr>
    </w:p>
    <w:p w14:paraId="1BC23A23" w14:textId="77777777" w:rsidR="00D21360" w:rsidRPr="008C76FF" w:rsidRDefault="00D21360" w:rsidP="00B03887">
      <w:pPr>
        <w:spacing w:after="0" w:line="240" w:lineRule="auto"/>
        <w:jc w:val="both"/>
        <w:rPr>
          <w:rFonts w:ascii="Arial" w:hAnsi="Arial" w:cs="Arial"/>
          <w:sz w:val="20"/>
          <w:szCs w:val="20"/>
        </w:rPr>
      </w:pPr>
    </w:p>
    <w:p w14:paraId="4972D75C" w14:textId="77777777" w:rsidR="00B03887" w:rsidRPr="008C76FF" w:rsidRDefault="00B03887" w:rsidP="00B03887">
      <w:pPr>
        <w:spacing w:after="0" w:line="240" w:lineRule="auto"/>
        <w:jc w:val="both"/>
        <w:rPr>
          <w:rFonts w:ascii="Arial" w:hAnsi="Arial" w:cs="Arial"/>
          <w:sz w:val="20"/>
          <w:szCs w:val="20"/>
        </w:rPr>
      </w:pPr>
    </w:p>
    <w:p w14:paraId="55BCC41B" w14:textId="77777777" w:rsidR="00B03887" w:rsidRPr="008C76FF" w:rsidRDefault="00B03887" w:rsidP="00B03887">
      <w:pPr>
        <w:pStyle w:val="NoSpacing"/>
        <w:jc w:val="both"/>
        <w:rPr>
          <w:rFonts w:ascii="Arial" w:hAnsi="Arial" w:cs="Arial"/>
          <w:color w:val="000000"/>
          <w:sz w:val="20"/>
          <w:szCs w:val="20"/>
        </w:rPr>
      </w:pPr>
    </w:p>
    <w:p w14:paraId="45BC17ED" w14:textId="77777777" w:rsidR="00B03887" w:rsidRPr="008C76FF" w:rsidRDefault="00B03887" w:rsidP="00B03887">
      <w:pPr>
        <w:pStyle w:val="ListParagraph"/>
        <w:numPr>
          <w:ilvl w:val="0"/>
          <w:numId w:val="3"/>
        </w:numPr>
        <w:shd w:val="clear" w:color="auto" w:fill="ADADAD" w:themeFill="background2" w:themeFillShade="BF"/>
        <w:spacing w:after="0" w:line="240" w:lineRule="auto"/>
        <w:jc w:val="both"/>
        <w:rPr>
          <w:rFonts w:ascii="Arial" w:hAnsi="Arial" w:cs="Arial"/>
          <w:b/>
          <w:bCs/>
          <w:sz w:val="20"/>
          <w:szCs w:val="20"/>
        </w:rPr>
      </w:pPr>
      <w:r w:rsidRPr="008C76FF">
        <w:rPr>
          <w:rFonts w:ascii="Arial" w:hAnsi="Arial" w:cs="Arial"/>
          <w:b/>
          <w:bCs/>
          <w:sz w:val="20"/>
          <w:szCs w:val="20"/>
        </w:rPr>
        <w:lastRenderedPageBreak/>
        <w:t>Reserve the Rights</w:t>
      </w:r>
    </w:p>
    <w:p w14:paraId="5BEEA9F3" w14:textId="77777777" w:rsidR="00B03887" w:rsidRPr="008C76FF" w:rsidRDefault="00B03887" w:rsidP="00B03887">
      <w:pPr>
        <w:spacing w:after="0" w:line="240" w:lineRule="auto"/>
        <w:jc w:val="both"/>
        <w:rPr>
          <w:rFonts w:ascii="Arial" w:hAnsi="Arial" w:cs="Arial"/>
          <w:sz w:val="20"/>
          <w:szCs w:val="20"/>
        </w:rPr>
      </w:pPr>
    </w:p>
    <w:p w14:paraId="6DFABAB9" w14:textId="77777777" w:rsidR="00B03887" w:rsidRPr="008C76FF" w:rsidRDefault="00B03887" w:rsidP="00B03887">
      <w:pPr>
        <w:spacing w:after="0" w:line="240" w:lineRule="auto"/>
        <w:jc w:val="both"/>
        <w:rPr>
          <w:rFonts w:ascii="Arial" w:hAnsi="Arial" w:cs="Arial"/>
          <w:sz w:val="20"/>
          <w:szCs w:val="20"/>
        </w:rPr>
      </w:pPr>
      <w:r w:rsidRPr="008C76FF">
        <w:rPr>
          <w:rFonts w:ascii="Arial" w:hAnsi="Arial" w:cs="Arial"/>
          <w:sz w:val="20"/>
          <w:szCs w:val="20"/>
        </w:rPr>
        <w:t>AAB reserves all the rights to reject any proposal or cancel the proposed activity without showing reasons.</w:t>
      </w:r>
    </w:p>
    <w:p w14:paraId="46DA372E" w14:textId="77777777" w:rsidR="00B03887" w:rsidRPr="008C76FF" w:rsidRDefault="00B03887" w:rsidP="00B03887">
      <w:pPr>
        <w:spacing w:after="0" w:line="240" w:lineRule="auto"/>
        <w:jc w:val="both"/>
        <w:rPr>
          <w:rFonts w:ascii="Arial" w:eastAsia="ヒラギノ角ゴ Pro W3" w:hAnsi="Arial" w:cs="Arial"/>
          <w:sz w:val="20"/>
          <w:szCs w:val="20"/>
        </w:rPr>
      </w:pPr>
    </w:p>
    <w:p w14:paraId="3C83AFCF" w14:textId="77777777" w:rsidR="00B03887" w:rsidRPr="008C76FF" w:rsidRDefault="00B03887" w:rsidP="00B03887">
      <w:pPr>
        <w:spacing w:after="0" w:line="240" w:lineRule="auto"/>
        <w:jc w:val="both"/>
        <w:rPr>
          <w:rFonts w:ascii="Arial" w:eastAsia="ヒラギノ角ゴ Pro W3" w:hAnsi="Arial" w:cs="Arial"/>
          <w:sz w:val="20"/>
          <w:szCs w:val="20"/>
        </w:rPr>
      </w:pPr>
    </w:p>
    <w:p w14:paraId="22FC78B5" w14:textId="77777777" w:rsidR="00B03887" w:rsidRPr="008C76FF" w:rsidRDefault="00B03887" w:rsidP="00B03887">
      <w:pPr>
        <w:pStyle w:val="ListParagraph"/>
        <w:numPr>
          <w:ilvl w:val="0"/>
          <w:numId w:val="3"/>
        </w:numPr>
        <w:shd w:val="clear" w:color="auto" w:fill="ADADAD" w:themeFill="background2" w:themeFillShade="BF"/>
        <w:spacing w:after="240" w:line="240" w:lineRule="auto"/>
        <w:jc w:val="both"/>
        <w:rPr>
          <w:rFonts w:ascii="Arial" w:hAnsi="Arial" w:cs="Arial"/>
          <w:b/>
          <w:sz w:val="20"/>
          <w:szCs w:val="20"/>
        </w:rPr>
      </w:pPr>
      <w:r w:rsidRPr="008C76FF">
        <w:rPr>
          <w:rFonts w:ascii="Arial" w:hAnsi="Arial" w:cs="Arial"/>
          <w:b/>
          <w:sz w:val="20"/>
          <w:szCs w:val="20"/>
        </w:rPr>
        <w:t>Confidentiality Action Plan</w:t>
      </w:r>
    </w:p>
    <w:p w14:paraId="4AAF8FCB" w14:textId="77777777" w:rsidR="00B03887" w:rsidRPr="008C76FF" w:rsidRDefault="00B03887" w:rsidP="00B03887">
      <w:pPr>
        <w:spacing w:after="0" w:line="240" w:lineRule="auto"/>
        <w:jc w:val="both"/>
        <w:rPr>
          <w:rFonts w:ascii="Arial" w:hAnsi="Arial" w:cs="Arial"/>
          <w:sz w:val="20"/>
          <w:szCs w:val="20"/>
        </w:rPr>
      </w:pPr>
      <w:r w:rsidRPr="008C76FF">
        <w:rPr>
          <w:rFonts w:ascii="Arial" w:hAnsi="Arial" w:cs="Arial"/>
          <w:sz w:val="20"/>
          <w:szCs w:val="20"/>
        </w:rPr>
        <w:t>The output produced by this assignment will be treated as AAB and consequently confidential. So, the above-mentioned output or any part of it cannot be sold, used, or reproduced in any manner by the assigned organisation / individual without prior permission from AAB.</w:t>
      </w:r>
    </w:p>
    <w:p w14:paraId="4C2C48FE" w14:textId="77777777" w:rsidR="00B03887" w:rsidRPr="008C76FF" w:rsidRDefault="00B03887" w:rsidP="00B03887">
      <w:pPr>
        <w:spacing w:after="0" w:line="240" w:lineRule="auto"/>
        <w:jc w:val="both"/>
        <w:rPr>
          <w:rFonts w:ascii="Arial" w:hAnsi="Arial" w:cs="Arial"/>
          <w:b/>
          <w:bCs/>
          <w:sz w:val="20"/>
          <w:szCs w:val="20"/>
        </w:rPr>
      </w:pPr>
    </w:p>
    <w:p w14:paraId="59F927D7" w14:textId="77777777" w:rsidR="00B03887" w:rsidRPr="008C76FF" w:rsidRDefault="00B03887" w:rsidP="00B03887">
      <w:pPr>
        <w:spacing w:after="0" w:line="240" w:lineRule="auto"/>
        <w:jc w:val="both"/>
        <w:rPr>
          <w:rFonts w:ascii="Arial" w:hAnsi="Arial" w:cs="Arial"/>
          <w:b/>
          <w:bCs/>
          <w:sz w:val="20"/>
          <w:szCs w:val="20"/>
        </w:rPr>
      </w:pPr>
    </w:p>
    <w:p w14:paraId="467A4EB4" w14:textId="77777777" w:rsidR="00B03887" w:rsidRPr="008C76FF" w:rsidRDefault="00B03887" w:rsidP="00B03887">
      <w:pPr>
        <w:pStyle w:val="ListParagraph"/>
        <w:numPr>
          <w:ilvl w:val="0"/>
          <w:numId w:val="3"/>
        </w:numPr>
        <w:shd w:val="clear" w:color="auto" w:fill="ADADAD" w:themeFill="background2" w:themeFillShade="BF"/>
        <w:spacing w:after="240" w:line="240" w:lineRule="auto"/>
        <w:jc w:val="both"/>
        <w:rPr>
          <w:rFonts w:ascii="Arial" w:hAnsi="Arial" w:cs="Arial"/>
          <w:b/>
          <w:sz w:val="20"/>
          <w:szCs w:val="20"/>
        </w:rPr>
      </w:pPr>
      <w:r w:rsidRPr="008C76FF">
        <w:rPr>
          <w:rFonts w:ascii="Arial" w:hAnsi="Arial" w:cs="Arial"/>
          <w:b/>
          <w:sz w:val="20"/>
          <w:szCs w:val="20"/>
        </w:rPr>
        <w:t>Application Process</w:t>
      </w:r>
    </w:p>
    <w:p w14:paraId="5D2A22EF" w14:textId="77777777" w:rsidR="00B03887" w:rsidRPr="008C76FF" w:rsidRDefault="00B03887" w:rsidP="00B03887">
      <w:pPr>
        <w:jc w:val="both"/>
        <w:rPr>
          <w:rFonts w:ascii="Arial" w:hAnsi="Arial" w:cs="Arial"/>
          <w:b/>
          <w:bCs/>
          <w:sz w:val="20"/>
          <w:szCs w:val="20"/>
        </w:rPr>
      </w:pPr>
      <w:r w:rsidRPr="008C76FF">
        <w:rPr>
          <w:rFonts w:ascii="Arial" w:hAnsi="Arial" w:cs="Arial"/>
          <w:b/>
          <w:bCs/>
          <w:sz w:val="20"/>
          <w:szCs w:val="20"/>
        </w:rPr>
        <w:t>Interested consultant or consultancy firm can apply for the following tasks.</w:t>
      </w:r>
    </w:p>
    <w:p w14:paraId="7E34C5D7" w14:textId="0CA7CBD9" w:rsidR="00F03FAC" w:rsidRPr="00C42994" w:rsidRDefault="00F03FAC" w:rsidP="00C42994">
      <w:pPr>
        <w:pStyle w:val="ListParagraph"/>
        <w:numPr>
          <w:ilvl w:val="0"/>
          <w:numId w:val="23"/>
        </w:numPr>
        <w:jc w:val="both"/>
        <w:rPr>
          <w:rFonts w:ascii="Arial" w:hAnsi="Arial" w:cs="Arial"/>
          <w:sz w:val="20"/>
          <w:szCs w:val="20"/>
        </w:rPr>
      </w:pPr>
      <w:r w:rsidRPr="00C42994">
        <w:rPr>
          <w:rFonts w:ascii="Arial" w:hAnsi="Arial" w:cs="Arial"/>
          <w:sz w:val="20"/>
          <w:szCs w:val="20"/>
        </w:rPr>
        <w:t>Live video transmission and Media outreach</w:t>
      </w:r>
      <w:r w:rsidR="00C42994">
        <w:rPr>
          <w:rFonts w:ascii="Arial" w:hAnsi="Arial" w:cs="Arial"/>
          <w:sz w:val="20"/>
          <w:szCs w:val="20"/>
        </w:rPr>
        <w:t xml:space="preserve"> support</w:t>
      </w:r>
    </w:p>
    <w:p w14:paraId="5749BC62" w14:textId="2C8B7C85" w:rsidR="00B03887" w:rsidRPr="008C76FF" w:rsidRDefault="00B03887" w:rsidP="00B03887">
      <w:pPr>
        <w:jc w:val="both"/>
        <w:rPr>
          <w:rFonts w:ascii="Arial" w:hAnsi="Arial" w:cs="Arial"/>
          <w:b/>
          <w:bCs/>
          <w:sz w:val="20"/>
          <w:szCs w:val="20"/>
        </w:rPr>
      </w:pPr>
      <w:r w:rsidRPr="008C76FF">
        <w:rPr>
          <w:rFonts w:ascii="Arial" w:hAnsi="Arial" w:cs="Arial"/>
          <w:b/>
          <w:bCs/>
          <w:sz w:val="20"/>
          <w:szCs w:val="20"/>
        </w:rPr>
        <w:t xml:space="preserve">Please note that financial proposal should be in details.   </w:t>
      </w:r>
    </w:p>
    <w:p w14:paraId="450B71C7" w14:textId="77777777" w:rsidR="001716D0" w:rsidRDefault="001716D0">
      <w:pPr>
        <w:rPr>
          <w:rFonts w:ascii="Arial" w:hAnsi="Arial" w:cs="Arial"/>
        </w:rPr>
      </w:pPr>
    </w:p>
    <w:p w14:paraId="43D252EA" w14:textId="62328983" w:rsidR="001716D0" w:rsidRPr="001716D0" w:rsidRDefault="001716D0">
      <w:pPr>
        <w:rPr>
          <w:rFonts w:ascii="Arial" w:hAnsi="Arial" w:cs="Arial"/>
          <w:b/>
          <w:bCs/>
        </w:rPr>
      </w:pPr>
      <w:r w:rsidRPr="001716D0">
        <w:rPr>
          <w:rFonts w:ascii="Arial" w:hAnsi="Arial" w:cs="Arial"/>
          <w:b/>
          <w:bCs/>
        </w:rPr>
        <w:t>Link for Proposal Submission:</w:t>
      </w:r>
      <w:r>
        <w:rPr>
          <w:rFonts w:ascii="Arial" w:hAnsi="Arial" w:cs="Arial"/>
          <w:b/>
          <w:bCs/>
        </w:rPr>
        <w:t xml:space="preserve"> </w:t>
      </w:r>
      <w:r w:rsidRPr="002C41DE">
        <w:rPr>
          <w:rFonts w:ascii="Arial" w:hAnsi="Arial" w:cs="Arial"/>
          <w:b/>
          <w:bCs/>
          <w:sz w:val="28"/>
          <w:szCs w:val="28"/>
        </w:rPr>
        <w:t> </w:t>
      </w:r>
      <w:hyperlink r:id="rId7" w:tgtFrame="_blank" w:history="1">
        <w:r w:rsidRPr="002C41DE">
          <w:rPr>
            <w:rStyle w:val="Hyperlink"/>
            <w:rFonts w:ascii="Arial" w:hAnsi="Arial" w:cs="Arial"/>
            <w:b/>
            <w:bCs/>
            <w:sz w:val="28"/>
            <w:szCs w:val="28"/>
          </w:rPr>
          <w:t>https://jobs.actionaidbd.org/consultancy</w:t>
        </w:r>
      </w:hyperlink>
      <w:r w:rsidRPr="001716D0">
        <w:rPr>
          <w:rFonts w:ascii="Arial" w:hAnsi="Arial" w:cs="Arial"/>
        </w:rPr>
        <w:t> </w:t>
      </w:r>
    </w:p>
    <w:sectPr w:rsidR="001716D0" w:rsidRPr="001716D0" w:rsidSect="00B03887">
      <w:headerReference w:type="default" r:id="rId8"/>
      <w:pgSz w:w="11907" w:h="16839" w:code="9"/>
      <w:pgMar w:top="1152"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072C" w14:textId="77777777" w:rsidR="00B16FF3" w:rsidRDefault="00B16FF3">
      <w:pPr>
        <w:spacing w:after="0" w:line="240" w:lineRule="auto"/>
      </w:pPr>
      <w:r>
        <w:separator/>
      </w:r>
    </w:p>
  </w:endnote>
  <w:endnote w:type="continuationSeparator" w:id="0">
    <w:p w14:paraId="074AB3AE" w14:textId="77777777" w:rsidR="00B16FF3" w:rsidRDefault="00B1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28521" w14:textId="77777777" w:rsidR="00B16FF3" w:rsidRDefault="00B16FF3">
      <w:pPr>
        <w:spacing w:after="0" w:line="240" w:lineRule="auto"/>
      </w:pPr>
      <w:r>
        <w:separator/>
      </w:r>
    </w:p>
  </w:footnote>
  <w:footnote w:type="continuationSeparator" w:id="0">
    <w:p w14:paraId="1BDF02D6" w14:textId="77777777" w:rsidR="00B16FF3" w:rsidRDefault="00B1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09DF" w14:textId="77777777" w:rsidR="00DB7F70" w:rsidRDefault="00DB7F70" w:rsidP="001E267B">
    <w:pPr>
      <w:pStyle w:val="Header"/>
      <w:jc w:val="right"/>
    </w:pPr>
    <w:r>
      <w:rPr>
        <w:noProof/>
        <w:color w:val="2B579A"/>
        <w:shd w:val="clear" w:color="auto" w:fill="E6E6E6"/>
        <w:lang w:val="en-US"/>
      </w:rPr>
      <w:drawing>
        <wp:anchor distT="0" distB="0" distL="114300" distR="114300" simplePos="0" relativeHeight="251659264" behindDoc="1" locked="0" layoutInCell="1" allowOverlap="1" wp14:anchorId="1348F209" wp14:editId="707A06B4">
          <wp:simplePos x="0" y="0"/>
          <wp:positionH relativeFrom="margin">
            <wp:align>right</wp:align>
          </wp:positionH>
          <wp:positionV relativeFrom="paragraph">
            <wp:posOffset>-267970</wp:posOffset>
          </wp:positionV>
          <wp:extent cx="2098675" cy="438785"/>
          <wp:effectExtent l="0" t="0" r="0" b="0"/>
          <wp:wrapTight wrapText="bothSides">
            <wp:wrapPolygon edited="0">
              <wp:start x="0" y="0"/>
              <wp:lineTo x="0" y="20631"/>
              <wp:lineTo x="21371" y="20631"/>
              <wp:lineTo x="21371" y="0"/>
              <wp:lineTo x="0" y="0"/>
            </wp:wrapPolygon>
          </wp:wrapTight>
          <wp:docPr id="3" name="Picture 3"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_Logotype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4387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B86"/>
    <w:multiLevelType w:val="hybridMultilevel"/>
    <w:tmpl w:val="F7F8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1E0C"/>
    <w:multiLevelType w:val="hybridMultilevel"/>
    <w:tmpl w:val="D86A0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5A4285"/>
    <w:multiLevelType w:val="hybridMultilevel"/>
    <w:tmpl w:val="6310B3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430C48"/>
    <w:multiLevelType w:val="hybridMultilevel"/>
    <w:tmpl w:val="B1686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42D39"/>
    <w:multiLevelType w:val="multilevel"/>
    <w:tmpl w:val="3110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D6E89"/>
    <w:multiLevelType w:val="hybridMultilevel"/>
    <w:tmpl w:val="BD0E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A4A05"/>
    <w:multiLevelType w:val="hybridMultilevel"/>
    <w:tmpl w:val="CA0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F3C24"/>
    <w:multiLevelType w:val="multilevel"/>
    <w:tmpl w:val="EE1C4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A1308"/>
    <w:multiLevelType w:val="hybridMultilevel"/>
    <w:tmpl w:val="C190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3692A"/>
    <w:multiLevelType w:val="hybridMultilevel"/>
    <w:tmpl w:val="9B2C72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212B7"/>
    <w:multiLevelType w:val="hybridMultilevel"/>
    <w:tmpl w:val="FFFFFFFF"/>
    <w:lvl w:ilvl="0" w:tplc="3C447C92">
      <w:start w:val="1"/>
      <w:numFmt w:val="bullet"/>
      <w:lvlText w:val=""/>
      <w:lvlJc w:val="left"/>
      <w:pPr>
        <w:ind w:left="720" w:hanging="360"/>
      </w:pPr>
      <w:rPr>
        <w:rFonts w:ascii="Symbol" w:hAnsi="Symbol" w:hint="default"/>
      </w:rPr>
    </w:lvl>
    <w:lvl w:ilvl="1" w:tplc="4AD8A646">
      <w:start w:val="1"/>
      <w:numFmt w:val="bullet"/>
      <w:lvlText w:val="o"/>
      <w:lvlJc w:val="left"/>
      <w:pPr>
        <w:ind w:left="1440" w:hanging="360"/>
      </w:pPr>
      <w:rPr>
        <w:rFonts w:ascii="Courier New" w:hAnsi="Courier New" w:hint="default"/>
      </w:rPr>
    </w:lvl>
    <w:lvl w:ilvl="2" w:tplc="6D6E853A">
      <w:start w:val="1"/>
      <w:numFmt w:val="bullet"/>
      <w:lvlText w:val=""/>
      <w:lvlJc w:val="left"/>
      <w:pPr>
        <w:ind w:left="2160" w:hanging="360"/>
      </w:pPr>
      <w:rPr>
        <w:rFonts w:ascii="Wingdings" w:hAnsi="Wingdings" w:hint="default"/>
      </w:rPr>
    </w:lvl>
    <w:lvl w:ilvl="3" w:tplc="6E7E3C58">
      <w:start w:val="1"/>
      <w:numFmt w:val="bullet"/>
      <w:lvlText w:val=""/>
      <w:lvlJc w:val="left"/>
      <w:pPr>
        <w:ind w:left="2880" w:hanging="360"/>
      </w:pPr>
      <w:rPr>
        <w:rFonts w:ascii="Symbol" w:hAnsi="Symbol" w:hint="default"/>
      </w:rPr>
    </w:lvl>
    <w:lvl w:ilvl="4" w:tplc="5FDE6644">
      <w:start w:val="1"/>
      <w:numFmt w:val="bullet"/>
      <w:lvlText w:val="o"/>
      <w:lvlJc w:val="left"/>
      <w:pPr>
        <w:ind w:left="3600" w:hanging="360"/>
      </w:pPr>
      <w:rPr>
        <w:rFonts w:ascii="Courier New" w:hAnsi="Courier New" w:hint="default"/>
      </w:rPr>
    </w:lvl>
    <w:lvl w:ilvl="5" w:tplc="C95A0BD8">
      <w:start w:val="1"/>
      <w:numFmt w:val="bullet"/>
      <w:lvlText w:val=""/>
      <w:lvlJc w:val="left"/>
      <w:pPr>
        <w:ind w:left="4320" w:hanging="360"/>
      </w:pPr>
      <w:rPr>
        <w:rFonts w:ascii="Wingdings" w:hAnsi="Wingdings" w:hint="default"/>
      </w:rPr>
    </w:lvl>
    <w:lvl w:ilvl="6" w:tplc="B066CBB8">
      <w:start w:val="1"/>
      <w:numFmt w:val="bullet"/>
      <w:lvlText w:val=""/>
      <w:lvlJc w:val="left"/>
      <w:pPr>
        <w:ind w:left="5040" w:hanging="360"/>
      </w:pPr>
      <w:rPr>
        <w:rFonts w:ascii="Symbol" w:hAnsi="Symbol" w:hint="default"/>
      </w:rPr>
    </w:lvl>
    <w:lvl w:ilvl="7" w:tplc="0CE285AA">
      <w:start w:val="1"/>
      <w:numFmt w:val="bullet"/>
      <w:lvlText w:val="o"/>
      <w:lvlJc w:val="left"/>
      <w:pPr>
        <w:ind w:left="5760" w:hanging="360"/>
      </w:pPr>
      <w:rPr>
        <w:rFonts w:ascii="Courier New" w:hAnsi="Courier New" w:hint="default"/>
      </w:rPr>
    </w:lvl>
    <w:lvl w:ilvl="8" w:tplc="7188DF80">
      <w:start w:val="1"/>
      <w:numFmt w:val="bullet"/>
      <w:lvlText w:val=""/>
      <w:lvlJc w:val="left"/>
      <w:pPr>
        <w:ind w:left="6480" w:hanging="360"/>
      </w:pPr>
      <w:rPr>
        <w:rFonts w:ascii="Wingdings" w:hAnsi="Wingdings" w:hint="default"/>
      </w:rPr>
    </w:lvl>
  </w:abstractNum>
  <w:abstractNum w:abstractNumId="11" w15:restartNumberingAfterBreak="0">
    <w:nsid w:val="3BB552F6"/>
    <w:multiLevelType w:val="multilevel"/>
    <w:tmpl w:val="A6BCFA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E0E8F"/>
    <w:multiLevelType w:val="hybridMultilevel"/>
    <w:tmpl w:val="5C4C3F0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23936"/>
    <w:multiLevelType w:val="hybridMultilevel"/>
    <w:tmpl w:val="FFFFFFFF"/>
    <w:lvl w:ilvl="0" w:tplc="362A6C04">
      <w:start w:val="1"/>
      <w:numFmt w:val="bullet"/>
      <w:lvlText w:val=""/>
      <w:lvlJc w:val="left"/>
      <w:pPr>
        <w:ind w:left="720" w:hanging="360"/>
      </w:pPr>
      <w:rPr>
        <w:rFonts w:ascii="Wingdings" w:hAnsi="Wingdings" w:hint="default"/>
      </w:rPr>
    </w:lvl>
    <w:lvl w:ilvl="1" w:tplc="689CAF96">
      <w:start w:val="1"/>
      <w:numFmt w:val="bullet"/>
      <w:lvlText w:val="o"/>
      <w:lvlJc w:val="left"/>
      <w:pPr>
        <w:ind w:left="1440" w:hanging="360"/>
      </w:pPr>
      <w:rPr>
        <w:rFonts w:ascii="Courier New" w:hAnsi="Courier New" w:hint="default"/>
      </w:rPr>
    </w:lvl>
    <w:lvl w:ilvl="2" w:tplc="97307EE4">
      <w:start w:val="1"/>
      <w:numFmt w:val="bullet"/>
      <w:lvlText w:val=""/>
      <w:lvlJc w:val="left"/>
      <w:pPr>
        <w:ind w:left="2160" w:hanging="360"/>
      </w:pPr>
      <w:rPr>
        <w:rFonts w:ascii="Wingdings" w:hAnsi="Wingdings" w:hint="default"/>
      </w:rPr>
    </w:lvl>
    <w:lvl w:ilvl="3" w:tplc="987C629E">
      <w:start w:val="1"/>
      <w:numFmt w:val="bullet"/>
      <w:lvlText w:val=""/>
      <w:lvlJc w:val="left"/>
      <w:pPr>
        <w:ind w:left="2880" w:hanging="360"/>
      </w:pPr>
      <w:rPr>
        <w:rFonts w:ascii="Symbol" w:hAnsi="Symbol" w:hint="default"/>
      </w:rPr>
    </w:lvl>
    <w:lvl w:ilvl="4" w:tplc="DD42B350">
      <w:start w:val="1"/>
      <w:numFmt w:val="bullet"/>
      <w:lvlText w:val="o"/>
      <w:lvlJc w:val="left"/>
      <w:pPr>
        <w:ind w:left="3600" w:hanging="360"/>
      </w:pPr>
      <w:rPr>
        <w:rFonts w:ascii="Courier New" w:hAnsi="Courier New" w:hint="default"/>
      </w:rPr>
    </w:lvl>
    <w:lvl w:ilvl="5" w:tplc="9306B48C">
      <w:start w:val="1"/>
      <w:numFmt w:val="bullet"/>
      <w:lvlText w:val=""/>
      <w:lvlJc w:val="left"/>
      <w:pPr>
        <w:ind w:left="4320" w:hanging="360"/>
      </w:pPr>
      <w:rPr>
        <w:rFonts w:ascii="Wingdings" w:hAnsi="Wingdings" w:hint="default"/>
      </w:rPr>
    </w:lvl>
    <w:lvl w:ilvl="6" w:tplc="0AA01C36">
      <w:start w:val="1"/>
      <w:numFmt w:val="bullet"/>
      <w:lvlText w:val=""/>
      <w:lvlJc w:val="left"/>
      <w:pPr>
        <w:ind w:left="5040" w:hanging="360"/>
      </w:pPr>
      <w:rPr>
        <w:rFonts w:ascii="Symbol" w:hAnsi="Symbol" w:hint="default"/>
      </w:rPr>
    </w:lvl>
    <w:lvl w:ilvl="7" w:tplc="C5200EB0">
      <w:start w:val="1"/>
      <w:numFmt w:val="bullet"/>
      <w:lvlText w:val="o"/>
      <w:lvlJc w:val="left"/>
      <w:pPr>
        <w:ind w:left="5760" w:hanging="360"/>
      </w:pPr>
      <w:rPr>
        <w:rFonts w:ascii="Courier New" w:hAnsi="Courier New" w:hint="default"/>
      </w:rPr>
    </w:lvl>
    <w:lvl w:ilvl="8" w:tplc="D3BC545C">
      <w:start w:val="1"/>
      <w:numFmt w:val="bullet"/>
      <w:lvlText w:val=""/>
      <w:lvlJc w:val="left"/>
      <w:pPr>
        <w:ind w:left="6480" w:hanging="360"/>
      </w:pPr>
      <w:rPr>
        <w:rFonts w:ascii="Wingdings" w:hAnsi="Wingdings" w:hint="default"/>
      </w:rPr>
    </w:lvl>
  </w:abstractNum>
  <w:abstractNum w:abstractNumId="14" w15:restartNumberingAfterBreak="0">
    <w:nsid w:val="4625332C"/>
    <w:multiLevelType w:val="hybridMultilevel"/>
    <w:tmpl w:val="ABEC1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01B30"/>
    <w:multiLevelType w:val="hybridMultilevel"/>
    <w:tmpl w:val="621A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C333D"/>
    <w:multiLevelType w:val="hybridMultilevel"/>
    <w:tmpl w:val="33BE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A5805"/>
    <w:multiLevelType w:val="hybridMultilevel"/>
    <w:tmpl w:val="E6EE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D2447"/>
    <w:multiLevelType w:val="hybridMultilevel"/>
    <w:tmpl w:val="DFD2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47FBC"/>
    <w:multiLevelType w:val="hybridMultilevel"/>
    <w:tmpl w:val="5608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AB3A2B"/>
    <w:multiLevelType w:val="hybridMultilevel"/>
    <w:tmpl w:val="782E12CC"/>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250806"/>
    <w:multiLevelType w:val="multilevel"/>
    <w:tmpl w:val="A6BCFA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2644B1"/>
    <w:multiLevelType w:val="hybridMultilevel"/>
    <w:tmpl w:val="DAF0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61518"/>
    <w:multiLevelType w:val="hybridMultilevel"/>
    <w:tmpl w:val="0B9E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17536"/>
    <w:multiLevelType w:val="hybridMultilevel"/>
    <w:tmpl w:val="D028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80214">
    <w:abstractNumId w:val="10"/>
  </w:num>
  <w:num w:numId="2" w16cid:durableId="1793094709">
    <w:abstractNumId w:val="13"/>
  </w:num>
  <w:num w:numId="3" w16cid:durableId="2052226758">
    <w:abstractNumId w:val="2"/>
  </w:num>
  <w:num w:numId="4" w16cid:durableId="146166055">
    <w:abstractNumId w:val="9"/>
  </w:num>
  <w:num w:numId="5" w16cid:durableId="1507283276">
    <w:abstractNumId w:val="20"/>
  </w:num>
  <w:num w:numId="6" w16cid:durableId="233856950">
    <w:abstractNumId w:val="16"/>
  </w:num>
  <w:num w:numId="7" w16cid:durableId="1732389142">
    <w:abstractNumId w:val="17"/>
  </w:num>
  <w:num w:numId="8" w16cid:durableId="1101296687">
    <w:abstractNumId w:val="6"/>
  </w:num>
  <w:num w:numId="9" w16cid:durableId="1525053650">
    <w:abstractNumId w:val="12"/>
  </w:num>
  <w:num w:numId="10" w16cid:durableId="2101561140">
    <w:abstractNumId w:val="23"/>
  </w:num>
  <w:num w:numId="11" w16cid:durableId="1322000872">
    <w:abstractNumId w:val="8"/>
  </w:num>
  <w:num w:numId="12" w16cid:durableId="1808428366">
    <w:abstractNumId w:val="5"/>
  </w:num>
  <w:num w:numId="13" w16cid:durableId="772745767">
    <w:abstractNumId w:val="18"/>
  </w:num>
  <w:num w:numId="14" w16cid:durableId="1227183399">
    <w:abstractNumId w:val="22"/>
  </w:num>
  <w:num w:numId="15" w16cid:durableId="1660428041">
    <w:abstractNumId w:val="15"/>
  </w:num>
  <w:num w:numId="16" w16cid:durableId="263072766">
    <w:abstractNumId w:val="19"/>
  </w:num>
  <w:num w:numId="17" w16cid:durableId="1005742150">
    <w:abstractNumId w:val="1"/>
  </w:num>
  <w:num w:numId="18" w16cid:durableId="1618370803">
    <w:abstractNumId w:val="7"/>
  </w:num>
  <w:num w:numId="19" w16cid:durableId="148592530">
    <w:abstractNumId w:val="21"/>
  </w:num>
  <w:num w:numId="20" w16cid:durableId="957183805">
    <w:abstractNumId w:val="11"/>
  </w:num>
  <w:num w:numId="21" w16cid:durableId="736392983">
    <w:abstractNumId w:val="24"/>
  </w:num>
  <w:num w:numId="22" w16cid:durableId="514535659">
    <w:abstractNumId w:val="4"/>
  </w:num>
  <w:num w:numId="23" w16cid:durableId="1804228293">
    <w:abstractNumId w:val="0"/>
  </w:num>
  <w:num w:numId="24" w16cid:durableId="478157629">
    <w:abstractNumId w:val="3"/>
  </w:num>
  <w:num w:numId="25" w16cid:durableId="2036299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87"/>
    <w:rsid w:val="00060B56"/>
    <w:rsid w:val="000E0F02"/>
    <w:rsid w:val="001716D0"/>
    <w:rsid w:val="001815C4"/>
    <w:rsid w:val="00197957"/>
    <w:rsid w:val="00272519"/>
    <w:rsid w:val="002C41DE"/>
    <w:rsid w:val="0037073B"/>
    <w:rsid w:val="004003D7"/>
    <w:rsid w:val="00423901"/>
    <w:rsid w:val="00447F53"/>
    <w:rsid w:val="00497C27"/>
    <w:rsid w:val="005504D8"/>
    <w:rsid w:val="005B4DDC"/>
    <w:rsid w:val="00605147"/>
    <w:rsid w:val="00626C39"/>
    <w:rsid w:val="006320CA"/>
    <w:rsid w:val="00635803"/>
    <w:rsid w:val="006465A7"/>
    <w:rsid w:val="00670857"/>
    <w:rsid w:val="00686A8F"/>
    <w:rsid w:val="0070416C"/>
    <w:rsid w:val="00737D75"/>
    <w:rsid w:val="007947BC"/>
    <w:rsid w:val="0079481D"/>
    <w:rsid w:val="0079771D"/>
    <w:rsid w:val="007B1E51"/>
    <w:rsid w:val="00864B0F"/>
    <w:rsid w:val="008676D9"/>
    <w:rsid w:val="008B5D7A"/>
    <w:rsid w:val="008C76FF"/>
    <w:rsid w:val="009953D5"/>
    <w:rsid w:val="00A12F3C"/>
    <w:rsid w:val="00A47A14"/>
    <w:rsid w:val="00AB00EE"/>
    <w:rsid w:val="00B03887"/>
    <w:rsid w:val="00B16BD0"/>
    <w:rsid w:val="00B16FF3"/>
    <w:rsid w:val="00BE254E"/>
    <w:rsid w:val="00C0404B"/>
    <w:rsid w:val="00C4031F"/>
    <w:rsid w:val="00C42994"/>
    <w:rsid w:val="00CC523C"/>
    <w:rsid w:val="00D21360"/>
    <w:rsid w:val="00DB0EA1"/>
    <w:rsid w:val="00DB23DB"/>
    <w:rsid w:val="00DB7F70"/>
    <w:rsid w:val="00DF2322"/>
    <w:rsid w:val="00E2197B"/>
    <w:rsid w:val="00E64E65"/>
    <w:rsid w:val="00E8026C"/>
    <w:rsid w:val="00E92E70"/>
    <w:rsid w:val="00F03FAC"/>
    <w:rsid w:val="00F3179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9E25"/>
  <w15:chartTrackingRefBased/>
  <w15:docId w15:val="{D9A1F145-F781-4F7B-B214-4BCA74FD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87"/>
    <w:pPr>
      <w:spacing w:after="200" w:line="276" w:lineRule="auto"/>
    </w:pPr>
    <w:rPr>
      <w:rFonts w:ascii="Calibri" w:eastAsia="Calibri" w:hAnsi="Calibri" w:cs="Vrinda"/>
      <w:kern w:val="0"/>
      <w:lang w:val="en-GB"/>
      <w14:ligatures w14:val="none"/>
    </w:rPr>
  </w:style>
  <w:style w:type="paragraph" w:styleId="Heading1">
    <w:name w:val="heading 1"/>
    <w:basedOn w:val="Normal"/>
    <w:next w:val="Normal"/>
    <w:link w:val="Heading1Char"/>
    <w:uiPriority w:val="9"/>
    <w:qFormat/>
    <w:rsid w:val="00B03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887"/>
    <w:rPr>
      <w:rFonts w:eastAsiaTheme="majorEastAsia" w:cstheme="majorBidi"/>
      <w:color w:val="272727" w:themeColor="text1" w:themeTint="D8"/>
    </w:rPr>
  </w:style>
  <w:style w:type="paragraph" w:styleId="Title">
    <w:name w:val="Title"/>
    <w:basedOn w:val="Normal"/>
    <w:next w:val="Normal"/>
    <w:link w:val="TitleChar"/>
    <w:uiPriority w:val="10"/>
    <w:qFormat/>
    <w:rsid w:val="00B03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887"/>
    <w:pPr>
      <w:spacing w:before="160"/>
      <w:jc w:val="center"/>
    </w:pPr>
    <w:rPr>
      <w:i/>
      <w:iCs/>
      <w:color w:val="404040" w:themeColor="text1" w:themeTint="BF"/>
    </w:rPr>
  </w:style>
  <w:style w:type="character" w:customStyle="1" w:styleId="QuoteChar">
    <w:name w:val="Quote Char"/>
    <w:basedOn w:val="DefaultParagraphFont"/>
    <w:link w:val="Quote"/>
    <w:uiPriority w:val="29"/>
    <w:rsid w:val="00B03887"/>
    <w:rPr>
      <w:i/>
      <w:iCs/>
      <w:color w:val="404040" w:themeColor="text1" w:themeTint="BF"/>
    </w:rPr>
  </w:style>
  <w:style w:type="paragraph" w:styleId="ListParagraph">
    <w:name w:val="List Paragraph"/>
    <w:aliases w:val="Citation List,Table of contents numbered,Ha,HaCxSpLast,Numbered paragraph"/>
    <w:basedOn w:val="Normal"/>
    <w:link w:val="ListParagraphChar"/>
    <w:uiPriority w:val="34"/>
    <w:qFormat/>
    <w:rsid w:val="00B03887"/>
    <w:pPr>
      <w:ind w:left="720"/>
      <w:contextualSpacing/>
    </w:pPr>
  </w:style>
  <w:style w:type="character" w:styleId="IntenseEmphasis">
    <w:name w:val="Intense Emphasis"/>
    <w:basedOn w:val="DefaultParagraphFont"/>
    <w:uiPriority w:val="21"/>
    <w:qFormat/>
    <w:rsid w:val="00B03887"/>
    <w:rPr>
      <w:i/>
      <w:iCs/>
      <w:color w:val="0F4761" w:themeColor="accent1" w:themeShade="BF"/>
    </w:rPr>
  </w:style>
  <w:style w:type="paragraph" w:styleId="IntenseQuote">
    <w:name w:val="Intense Quote"/>
    <w:basedOn w:val="Normal"/>
    <w:next w:val="Normal"/>
    <w:link w:val="IntenseQuoteChar"/>
    <w:uiPriority w:val="30"/>
    <w:qFormat/>
    <w:rsid w:val="00B03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887"/>
    <w:rPr>
      <w:i/>
      <w:iCs/>
      <w:color w:val="0F4761" w:themeColor="accent1" w:themeShade="BF"/>
    </w:rPr>
  </w:style>
  <w:style w:type="character" w:styleId="IntenseReference">
    <w:name w:val="Intense Reference"/>
    <w:basedOn w:val="DefaultParagraphFont"/>
    <w:uiPriority w:val="32"/>
    <w:qFormat/>
    <w:rsid w:val="00B03887"/>
    <w:rPr>
      <w:b/>
      <w:bCs/>
      <w:smallCaps/>
      <w:color w:val="0F4761" w:themeColor="accent1" w:themeShade="BF"/>
      <w:spacing w:val="5"/>
    </w:rPr>
  </w:style>
  <w:style w:type="paragraph" w:styleId="NoSpacing">
    <w:name w:val="No Spacing"/>
    <w:uiPriority w:val="1"/>
    <w:qFormat/>
    <w:rsid w:val="00B03887"/>
    <w:pPr>
      <w:spacing w:after="0" w:line="240" w:lineRule="auto"/>
    </w:pPr>
    <w:rPr>
      <w:rFonts w:ascii="Calibri" w:eastAsia="Calibri" w:hAnsi="Calibri" w:cs="Vrinda"/>
      <w:kern w:val="0"/>
      <w:lang w:val="en-GB"/>
      <w14:ligatures w14:val="none"/>
    </w:rPr>
  </w:style>
  <w:style w:type="paragraph" w:styleId="Header">
    <w:name w:val="header"/>
    <w:basedOn w:val="Normal"/>
    <w:link w:val="HeaderChar"/>
    <w:uiPriority w:val="99"/>
    <w:unhideWhenUsed/>
    <w:rsid w:val="00B03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887"/>
    <w:rPr>
      <w:rFonts w:ascii="Calibri" w:eastAsia="Calibri" w:hAnsi="Calibri" w:cs="Vrinda"/>
      <w:kern w:val="0"/>
      <w:lang w:val="en-GB"/>
      <w14:ligatures w14:val="none"/>
    </w:rPr>
  </w:style>
  <w:style w:type="character" w:styleId="Hyperlink">
    <w:name w:val="Hyperlink"/>
    <w:basedOn w:val="DefaultParagraphFont"/>
    <w:uiPriority w:val="99"/>
    <w:unhideWhenUsed/>
    <w:rsid w:val="00B03887"/>
    <w:rPr>
      <w:color w:val="467886" w:themeColor="hyperlink"/>
      <w:u w:val="single"/>
    </w:rPr>
  </w:style>
  <w:style w:type="table" w:styleId="TableGrid">
    <w:name w:val="Table Grid"/>
    <w:basedOn w:val="TableNormal"/>
    <w:uiPriority w:val="59"/>
    <w:rsid w:val="00B038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Table of contents numbered Char,Ha Char,HaCxSpLast Char,Numbered paragraph Char"/>
    <w:basedOn w:val="DefaultParagraphFont"/>
    <w:link w:val="ListParagraph"/>
    <w:uiPriority w:val="34"/>
    <w:rsid w:val="00B03887"/>
  </w:style>
  <w:style w:type="character" w:styleId="UnresolvedMention">
    <w:name w:val="Unresolved Mention"/>
    <w:basedOn w:val="DefaultParagraphFont"/>
    <w:uiPriority w:val="99"/>
    <w:semiHidden/>
    <w:unhideWhenUsed/>
    <w:rsid w:val="0017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7941">
      <w:bodyDiv w:val="1"/>
      <w:marLeft w:val="0"/>
      <w:marRight w:val="0"/>
      <w:marTop w:val="0"/>
      <w:marBottom w:val="0"/>
      <w:divBdr>
        <w:top w:val="none" w:sz="0" w:space="0" w:color="auto"/>
        <w:left w:val="none" w:sz="0" w:space="0" w:color="auto"/>
        <w:bottom w:val="none" w:sz="0" w:space="0" w:color="auto"/>
        <w:right w:val="none" w:sz="0" w:space="0" w:color="auto"/>
      </w:divBdr>
    </w:div>
    <w:div w:id="213126554">
      <w:bodyDiv w:val="1"/>
      <w:marLeft w:val="0"/>
      <w:marRight w:val="0"/>
      <w:marTop w:val="0"/>
      <w:marBottom w:val="0"/>
      <w:divBdr>
        <w:top w:val="none" w:sz="0" w:space="0" w:color="auto"/>
        <w:left w:val="none" w:sz="0" w:space="0" w:color="auto"/>
        <w:bottom w:val="none" w:sz="0" w:space="0" w:color="auto"/>
        <w:right w:val="none" w:sz="0" w:space="0" w:color="auto"/>
      </w:divBdr>
    </w:div>
    <w:div w:id="16417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bs.actionaidbd.org/consulta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Jahid-E-Hasan</dc:creator>
  <cp:keywords/>
  <dc:description/>
  <cp:lastModifiedBy>Pallab Kumar Basak</cp:lastModifiedBy>
  <cp:revision>4</cp:revision>
  <dcterms:created xsi:type="dcterms:W3CDTF">2025-06-26T06:46:00Z</dcterms:created>
  <dcterms:modified xsi:type="dcterms:W3CDTF">2025-07-17T05:48:00Z</dcterms:modified>
</cp:coreProperties>
</file>